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b/>
          <w:bCs/>
          <w:sz w:val="32"/>
          <w:szCs w:val="32"/>
          <w:lang w:val="en-US" w:eastAsia="zh-CN"/>
        </w:rPr>
      </w:pPr>
      <w:r>
        <w:rPr>
          <w:rFonts w:hint="eastAsia"/>
          <w:b/>
          <w:bCs/>
          <w:sz w:val="32"/>
          <w:szCs w:val="32"/>
          <w:lang w:eastAsia="zh-CN"/>
        </w:rPr>
        <w:t>建筑业</w:t>
      </w:r>
      <w:r>
        <w:rPr>
          <w:rFonts w:hint="eastAsia"/>
          <w:b/>
          <w:bCs/>
          <w:sz w:val="32"/>
          <w:szCs w:val="32"/>
          <w:lang w:val="en-US" w:eastAsia="zh-CN"/>
        </w:rPr>
        <w:t>10项新技术技术指标</w:t>
      </w:r>
    </w:p>
    <w:p>
      <w:pPr>
        <w:numPr>
          <w:numId w:val="0"/>
        </w:numPr>
        <w:rPr>
          <w:rFonts w:hint="eastAsia"/>
          <w:b/>
          <w:bCs/>
          <w:sz w:val="24"/>
          <w:szCs w:val="24"/>
          <w:lang w:val="en-US" w:eastAsia="zh-CN"/>
        </w:rPr>
      </w:pPr>
      <w:r>
        <w:rPr>
          <w:rFonts w:hint="eastAsia"/>
          <w:b/>
          <w:bCs/>
          <w:sz w:val="32"/>
          <w:szCs w:val="32"/>
          <w:lang w:val="en-US" w:eastAsia="zh-CN"/>
        </w:rPr>
        <w:t>一．地基基础及地下空间工程技术</w:t>
      </w:r>
    </w:p>
    <w:p>
      <w:pPr>
        <w:numPr>
          <w:numId w:val="0"/>
        </w:numPr>
        <w:rPr>
          <w:rFonts w:hint="eastAsia"/>
          <w:b/>
          <w:bCs/>
          <w:sz w:val="24"/>
          <w:szCs w:val="24"/>
          <w:lang w:val="en-US" w:eastAsia="zh-CN"/>
        </w:rPr>
      </w:pPr>
      <w:r>
        <w:rPr>
          <w:rFonts w:hint="eastAsia"/>
          <w:b/>
          <w:bCs/>
          <w:sz w:val="24"/>
          <w:szCs w:val="24"/>
          <w:lang w:val="en-US" w:eastAsia="zh-CN"/>
        </w:rPr>
        <w:t>1.1灌注桩后注浆技术指标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  （1）浆液水灰比：0.45～0.9；</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（2）注浆压力：0.5～16MPa。</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实际工程中，以上参数应根据土的类别、饱和度及桩的尺寸、承载力增幅等因素适当调整，</w:t>
      </w:r>
    </w:p>
    <w:p>
      <w:pPr>
        <w:numPr>
          <w:ilvl w:val="0"/>
          <w:numId w:val="0"/>
        </w:numPr>
        <w:rPr>
          <w:rFonts w:hint="eastAsia"/>
          <w:b w:val="0"/>
          <w:bCs w:val="0"/>
          <w:sz w:val="24"/>
          <w:szCs w:val="24"/>
          <w:lang w:val="en-US" w:eastAsia="zh-CN"/>
        </w:rPr>
      </w:pPr>
      <w:r>
        <w:rPr>
          <w:rFonts w:hint="eastAsia"/>
          <w:b w:val="0"/>
          <w:bCs w:val="0"/>
          <w:sz w:val="24"/>
          <w:szCs w:val="24"/>
          <w:lang w:val="en-US" w:eastAsia="zh-CN"/>
        </w:rPr>
        <w:t>并通过现场试注浆和试桩试验最终确定。设计和施工可依据《建筑桩基技术规范》JGJ94 的规定进行。</w:t>
      </w:r>
    </w:p>
    <w:p>
      <w:pPr>
        <w:numPr>
          <w:numId w:val="0"/>
        </w:numPr>
        <w:ind w:leftChars="0"/>
        <w:rPr>
          <w:rFonts w:hint="eastAsia"/>
          <w:b w:val="0"/>
          <w:bCs w:val="0"/>
          <w:sz w:val="24"/>
          <w:szCs w:val="24"/>
          <w:lang w:val="en-US" w:eastAsia="zh-CN"/>
        </w:rPr>
      </w:pPr>
      <w:r>
        <w:rPr>
          <w:rFonts w:hint="eastAsia"/>
          <w:b/>
          <w:bCs/>
          <w:sz w:val="24"/>
          <w:szCs w:val="24"/>
          <w:lang w:val="en-US" w:eastAsia="zh-CN"/>
        </w:rPr>
        <w:t>1.2长螺旋钻孔压灌桩技术指标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 xml:space="preserve">  （1）混凝土中可掺加粉煤灰或外加剂，混凝土中粉煤灰掺量宜为 70～90kg/ m3；</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（2）混凝土的粗骨料可采用卵石或碎石，最大粒径不宜大于 20mm；</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（3）混凝土塌落度宜为 180～220mm。</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设计和施工可依据《建筑桩基技术规范》JGJ94 的规定进行。</w:t>
      </w:r>
    </w:p>
    <w:p>
      <w:pPr>
        <w:numPr>
          <w:ilvl w:val="0"/>
          <w:numId w:val="0"/>
        </w:numPr>
        <w:rPr>
          <w:rFonts w:hint="eastAsia"/>
          <w:b/>
          <w:bCs/>
          <w:sz w:val="24"/>
          <w:szCs w:val="24"/>
          <w:lang w:val="en-US" w:eastAsia="zh-CN"/>
        </w:rPr>
      </w:pPr>
      <w:r>
        <w:rPr>
          <w:rFonts w:hint="eastAsia"/>
          <w:b/>
          <w:bCs/>
          <w:sz w:val="24"/>
          <w:szCs w:val="24"/>
          <w:lang w:val="en-US" w:eastAsia="zh-CN"/>
        </w:rPr>
        <w:t>1.3水泥土复合桩技术指标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（1）水泥土桩直径宜为 500～700mm；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（2）水泥掺量宜为 12%～20%；</w:t>
      </w:r>
    </w:p>
    <w:p>
      <w:pPr>
        <w:numPr>
          <w:ilvl w:val="0"/>
          <w:numId w:val="0"/>
        </w:numPr>
        <w:rPr>
          <w:rFonts w:hint="eastAsia"/>
          <w:b w:val="0"/>
          <w:bCs w:val="0"/>
          <w:sz w:val="24"/>
          <w:szCs w:val="24"/>
          <w:lang w:val="en-US" w:eastAsia="zh-CN"/>
        </w:rPr>
      </w:pPr>
      <w:r>
        <w:rPr>
          <w:rFonts w:hint="eastAsia"/>
          <w:b w:val="0"/>
          <w:bCs w:val="0"/>
          <w:sz w:val="24"/>
          <w:szCs w:val="24"/>
          <w:lang w:val="en-US" w:eastAsia="zh-CN"/>
        </w:rPr>
        <w:t>（3）管桩直径宜为 300～600mm；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（4）桩间距宜取水泥土桩直径的 3～5 倍；</w:t>
      </w:r>
    </w:p>
    <w:p>
      <w:pPr>
        <w:numPr>
          <w:ilvl w:val="0"/>
          <w:numId w:val="0"/>
        </w:numPr>
        <w:rPr>
          <w:rFonts w:hint="eastAsia"/>
          <w:b w:val="0"/>
          <w:bCs w:val="0"/>
          <w:sz w:val="24"/>
          <w:szCs w:val="24"/>
          <w:lang w:val="en-US" w:eastAsia="zh-CN"/>
        </w:rPr>
      </w:pPr>
      <w:r>
        <w:rPr>
          <w:rFonts w:hint="eastAsia"/>
          <w:b w:val="0"/>
          <w:bCs w:val="0"/>
          <w:sz w:val="24"/>
          <w:szCs w:val="24"/>
          <w:lang w:val="en-US" w:eastAsia="zh-CN"/>
        </w:rPr>
        <w:t>（5）桩端应选择承载力较高的土层。</w:t>
      </w:r>
    </w:p>
    <w:p>
      <w:pPr>
        <w:numPr>
          <w:ilvl w:val="0"/>
          <w:numId w:val="0"/>
        </w:numPr>
        <w:rPr>
          <w:rFonts w:hint="eastAsia"/>
          <w:b w:val="0"/>
          <w:bCs w:val="0"/>
          <w:sz w:val="24"/>
          <w:szCs w:val="24"/>
          <w:lang w:val="en-US" w:eastAsia="zh-CN"/>
        </w:rPr>
      </w:pPr>
      <w:r>
        <w:rPr>
          <w:rFonts w:hint="eastAsia"/>
          <w:b/>
          <w:bCs/>
          <w:sz w:val="24"/>
          <w:szCs w:val="24"/>
          <w:lang w:val="en-US" w:eastAsia="zh-CN"/>
        </w:rPr>
        <w:t>1.4混凝土桩复合地基技术指标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（1）桩径宜取 350～600mm；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（2）桩端持力层应选择承载力相对较高的地层；</w:t>
      </w:r>
    </w:p>
    <w:p>
      <w:pPr>
        <w:numPr>
          <w:ilvl w:val="0"/>
          <w:numId w:val="0"/>
        </w:numPr>
        <w:rPr>
          <w:rFonts w:hint="eastAsia"/>
          <w:b w:val="0"/>
          <w:bCs w:val="0"/>
          <w:sz w:val="24"/>
          <w:szCs w:val="24"/>
          <w:lang w:val="en-US" w:eastAsia="zh-CN"/>
        </w:rPr>
      </w:pPr>
      <w:r>
        <w:rPr>
          <w:rFonts w:hint="eastAsia"/>
          <w:b w:val="0"/>
          <w:bCs w:val="0"/>
          <w:sz w:val="24"/>
          <w:szCs w:val="24"/>
          <w:lang w:val="en-US" w:eastAsia="zh-CN"/>
        </w:rPr>
        <w:t>（3）桩间距宜取 3～5 倍桩径；</w:t>
      </w:r>
    </w:p>
    <w:p>
      <w:pPr>
        <w:numPr>
          <w:ilvl w:val="0"/>
          <w:numId w:val="0"/>
        </w:numPr>
        <w:rPr>
          <w:rFonts w:hint="eastAsia"/>
          <w:b w:val="0"/>
          <w:bCs w:val="0"/>
          <w:sz w:val="24"/>
          <w:szCs w:val="24"/>
          <w:lang w:val="en-US" w:eastAsia="zh-CN"/>
        </w:rPr>
      </w:pPr>
      <w:r>
        <w:rPr>
          <w:rFonts w:hint="eastAsia"/>
          <w:b w:val="0"/>
          <w:bCs w:val="0"/>
          <w:sz w:val="24"/>
          <w:szCs w:val="24"/>
          <w:lang w:val="en-US" w:eastAsia="zh-CN"/>
        </w:rPr>
        <w:t>（4）桩身混凝土强度满足设计要求，一般情况下要求混凝土强度大于等于 C15；</w:t>
      </w:r>
    </w:p>
    <w:p>
      <w:pPr>
        <w:numPr>
          <w:ilvl w:val="0"/>
          <w:numId w:val="0"/>
        </w:numPr>
        <w:rPr>
          <w:rFonts w:hint="eastAsia"/>
          <w:b w:val="0"/>
          <w:bCs w:val="0"/>
          <w:sz w:val="24"/>
          <w:szCs w:val="24"/>
          <w:lang w:val="en-US" w:eastAsia="zh-CN"/>
        </w:rPr>
      </w:pPr>
      <w:r>
        <w:rPr>
          <w:rFonts w:hint="eastAsia"/>
          <w:b w:val="0"/>
          <w:bCs w:val="0"/>
          <w:sz w:val="24"/>
          <w:szCs w:val="24"/>
          <w:lang w:val="en-US" w:eastAsia="zh-CN"/>
        </w:rPr>
        <w:t>（5）褥垫层宜用中砂、粗砂、碎石或级配砂石等，不宜选用卵石，最大粒径不宜大于 30mm，</w:t>
      </w:r>
    </w:p>
    <w:p>
      <w:pPr>
        <w:numPr>
          <w:ilvl w:val="0"/>
          <w:numId w:val="0"/>
        </w:numPr>
        <w:rPr>
          <w:rFonts w:hint="eastAsia"/>
          <w:b w:val="0"/>
          <w:bCs w:val="0"/>
          <w:sz w:val="24"/>
          <w:szCs w:val="24"/>
          <w:lang w:val="en-US" w:eastAsia="zh-CN"/>
        </w:rPr>
      </w:pPr>
      <w:r>
        <w:rPr>
          <w:rFonts w:hint="eastAsia"/>
          <w:b w:val="0"/>
          <w:bCs w:val="0"/>
          <w:sz w:val="24"/>
          <w:szCs w:val="24"/>
          <w:lang w:val="en-US" w:eastAsia="zh-CN"/>
        </w:rPr>
        <w:t>厚度 150～300mm，夯填度≤0.9。</w:t>
      </w:r>
    </w:p>
    <w:p>
      <w:pPr>
        <w:numPr>
          <w:ilvl w:val="0"/>
          <w:numId w:val="0"/>
        </w:numPr>
        <w:rPr>
          <w:rFonts w:hint="eastAsia"/>
          <w:b w:val="0"/>
          <w:bCs w:val="0"/>
          <w:sz w:val="24"/>
          <w:szCs w:val="24"/>
          <w:lang w:val="en-US" w:eastAsia="zh-CN"/>
        </w:rPr>
      </w:pPr>
      <w:r>
        <w:rPr>
          <w:rFonts w:hint="eastAsia"/>
          <w:b w:val="0"/>
          <w:bCs w:val="0"/>
          <w:sz w:val="24"/>
          <w:szCs w:val="24"/>
          <w:lang w:val="en-US" w:eastAsia="zh-CN"/>
        </w:rPr>
        <w:t>实际工程中，以上参数根据场地岩土工程条件、基础类型、结构类型、地基承载力和变形要</w:t>
      </w:r>
    </w:p>
    <w:p>
      <w:pPr>
        <w:numPr>
          <w:ilvl w:val="0"/>
          <w:numId w:val="0"/>
        </w:numPr>
        <w:rPr>
          <w:rFonts w:hint="eastAsia"/>
          <w:b w:val="0"/>
          <w:bCs w:val="0"/>
          <w:sz w:val="24"/>
          <w:szCs w:val="24"/>
          <w:lang w:val="en-US" w:eastAsia="zh-CN"/>
        </w:rPr>
      </w:pPr>
      <w:r>
        <w:rPr>
          <w:rFonts w:hint="eastAsia"/>
          <w:b w:val="0"/>
          <w:bCs w:val="0"/>
          <w:sz w:val="24"/>
          <w:szCs w:val="24"/>
          <w:lang w:val="en-US" w:eastAsia="zh-CN"/>
        </w:rPr>
        <w:t>求等条件或现场试验确定。</w:t>
      </w:r>
    </w:p>
    <w:p>
      <w:pPr>
        <w:numPr>
          <w:ilvl w:val="0"/>
          <w:numId w:val="0"/>
        </w:numPr>
        <w:rPr>
          <w:rFonts w:hint="eastAsia"/>
          <w:b w:val="0"/>
          <w:bCs w:val="0"/>
          <w:sz w:val="24"/>
          <w:szCs w:val="24"/>
          <w:lang w:val="en-US" w:eastAsia="zh-CN"/>
        </w:rPr>
      </w:pPr>
      <w:r>
        <w:rPr>
          <w:rFonts w:hint="eastAsia"/>
          <w:b w:val="0"/>
          <w:bCs w:val="0"/>
          <w:sz w:val="24"/>
          <w:szCs w:val="24"/>
          <w:lang w:val="en-US" w:eastAsia="zh-CN"/>
        </w:rPr>
        <w:t>对于市政、公路、高速公路、铁路等地基处理工程，当基础刚度较弱时，宜在桩顶增加桩帽</w:t>
      </w:r>
    </w:p>
    <w:p>
      <w:pPr>
        <w:numPr>
          <w:ilvl w:val="0"/>
          <w:numId w:val="0"/>
        </w:numPr>
        <w:rPr>
          <w:rFonts w:hint="eastAsia"/>
          <w:b w:val="0"/>
          <w:bCs w:val="0"/>
          <w:sz w:val="24"/>
          <w:szCs w:val="24"/>
          <w:lang w:val="en-US" w:eastAsia="zh-CN"/>
        </w:rPr>
      </w:pPr>
      <w:r>
        <w:rPr>
          <w:rFonts w:hint="eastAsia"/>
          <w:b w:val="0"/>
          <w:bCs w:val="0"/>
          <w:sz w:val="24"/>
          <w:szCs w:val="24"/>
          <w:lang w:val="en-US" w:eastAsia="zh-CN"/>
        </w:rPr>
        <w:t>或在桩顶采用碎石+土工格栅、碎石+钢板网等方式调整桩土荷载分担比例，以提高桩的承载能力。</w:t>
      </w:r>
    </w:p>
    <w:p>
      <w:pPr>
        <w:numPr>
          <w:ilvl w:val="0"/>
          <w:numId w:val="0"/>
        </w:numPr>
        <w:rPr>
          <w:rFonts w:hint="eastAsia"/>
          <w:b w:val="0"/>
          <w:bCs w:val="0"/>
          <w:sz w:val="24"/>
          <w:szCs w:val="24"/>
          <w:lang w:val="en-US" w:eastAsia="zh-CN"/>
        </w:rPr>
      </w:pPr>
      <w:r>
        <w:rPr>
          <w:rFonts w:hint="eastAsia"/>
          <w:b w:val="0"/>
          <w:bCs w:val="0"/>
          <w:sz w:val="24"/>
          <w:szCs w:val="24"/>
          <w:lang w:val="en-US" w:eastAsia="zh-CN"/>
        </w:rPr>
        <w:t>设计和施工可依据《建筑地基处理技术规范》JGJ79 的规定进行。</w:t>
      </w:r>
    </w:p>
    <w:p>
      <w:pPr>
        <w:numPr>
          <w:numId w:val="0"/>
        </w:numPr>
        <w:rPr>
          <w:rFonts w:hint="eastAsia"/>
          <w:b w:val="0"/>
          <w:bCs w:val="0"/>
          <w:sz w:val="24"/>
          <w:szCs w:val="24"/>
          <w:lang w:val="en-US" w:eastAsia="zh-CN"/>
        </w:rPr>
      </w:pPr>
      <w:r>
        <w:rPr>
          <w:rFonts w:hint="eastAsia"/>
          <w:b/>
          <w:bCs/>
          <w:sz w:val="24"/>
          <w:szCs w:val="24"/>
          <w:lang w:val="en-US" w:eastAsia="zh-CN"/>
        </w:rPr>
        <w:t>1.5真空预压法组合加固软基技术指标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 （1）真空预压施工时首先在加固区表面用推土机或人工铺设砂垫层，层厚约 0.5m；</w:t>
      </w:r>
    </w:p>
    <w:p>
      <w:pPr>
        <w:numPr>
          <w:ilvl w:val="0"/>
          <w:numId w:val="0"/>
        </w:numPr>
        <w:rPr>
          <w:rFonts w:hint="eastAsia"/>
          <w:b w:val="0"/>
          <w:bCs w:val="0"/>
          <w:sz w:val="24"/>
          <w:szCs w:val="24"/>
          <w:lang w:val="en-US" w:eastAsia="zh-CN"/>
        </w:rPr>
      </w:pPr>
      <w:r>
        <w:rPr>
          <w:rFonts w:hint="eastAsia"/>
          <w:b w:val="0"/>
          <w:bCs w:val="0"/>
          <w:sz w:val="24"/>
          <w:szCs w:val="24"/>
          <w:lang w:val="en-US" w:eastAsia="zh-CN"/>
        </w:rPr>
        <w:t>（2）真空管路的连接点应密封，在真空管路中应设置止回阀和闸阀；滤水管应设在排水砂垫层中，其上覆盖厚度 100~200mm 的砂层；</w:t>
      </w:r>
    </w:p>
    <w:p>
      <w:pPr>
        <w:numPr>
          <w:ilvl w:val="0"/>
          <w:numId w:val="0"/>
        </w:numPr>
        <w:rPr>
          <w:rFonts w:hint="eastAsia"/>
          <w:b w:val="0"/>
          <w:bCs w:val="0"/>
          <w:sz w:val="24"/>
          <w:szCs w:val="24"/>
          <w:lang w:val="en-US" w:eastAsia="zh-CN"/>
        </w:rPr>
      </w:pPr>
      <w:r>
        <w:rPr>
          <w:rFonts w:hint="eastAsia"/>
          <w:b w:val="0"/>
          <w:bCs w:val="0"/>
          <w:sz w:val="24"/>
          <w:szCs w:val="24"/>
          <w:lang w:val="en-US" w:eastAsia="zh-CN"/>
        </w:rPr>
        <w:t>（3）密封膜热合粘结时宜用双热合缝的平搭接，搭接宽度应大于 15mm 且应铺设二层以上。</w:t>
      </w:r>
    </w:p>
    <w:p>
      <w:pPr>
        <w:numPr>
          <w:ilvl w:val="0"/>
          <w:numId w:val="0"/>
        </w:numPr>
        <w:rPr>
          <w:rFonts w:hint="eastAsia"/>
          <w:b w:val="0"/>
          <w:bCs w:val="0"/>
          <w:sz w:val="24"/>
          <w:szCs w:val="24"/>
          <w:lang w:val="en-US" w:eastAsia="zh-CN"/>
        </w:rPr>
      </w:pPr>
      <w:r>
        <w:rPr>
          <w:rFonts w:hint="eastAsia"/>
          <w:b w:val="0"/>
          <w:bCs w:val="0"/>
          <w:sz w:val="24"/>
          <w:szCs w:val="24"/>
          <w:lang w:val="en-US" w:eastAsia="zh-CN"/>
        </w:rPr>
        <w:t>密封膜的焊接或粘接的粘缝强度不能低于膜本身抗拉强度的 60%；</w:t>
      </w:r>
    </w:p>
    <w:p>
      <w:pPr>
        <w:numPr>
          <w:ilvl w:val="0"/>
          <w:numId w:val="0"/>
        </w:numPr>
        <w:rPr>
          <w:rFonts w:hint="eastAsia"/>
          <w:b w:val="0"/>
          <w:bCs w:val="0"/>
          <w:sz w:val="24"/>
          <w:szCs w:val="24"/>
          <w:lang w:val="en-US" w:eastAsia="zh-CN"/>
        </w:rPr>
      </w:pPr>
      <w:r>
        <w:rPr>
          <w:rFonts w:hint="eastAsia"/>
          <w:b w:val="0"/>
          <w:bCs w:val="0"/>
          <w:sz w:val="24"/>
          <w:szCs w:val="24"/>
          <w:lang w:val="en-US" w:eastAsia="zh-CN"/>
        </w:rPr>
        <w:t>（4）真空预压的抽气设备宜采用射流真空泵，空抽时应达到 95kPa 以上的真空吸力，其数量应根据加固面积和土层性能等确定；</w:t>
      </w:r>
    </w:p>
    <w:p>
      <w:pPr>
        <w:numPr>
          <w:ilvl w:val="0"/>
          <w:numId w:val="0"/>
        </w:numPr>
        <w:rPr>
          <w:rFonts w:hint="eastAsia"/>
          <w:b w:val="0"/>
          <w:bCs w:val="0"/>
          <w:sz w:val="24"/>
          <w:szCs w:val="24"/>
          <w:lang w:val="en-US" w:eastAsia="zh-CN"/>
        </w:rPr>
      </w:pPr>
      <w:r>
        <w:rPr>
          <w:rFonts w:hint="eastAsia"/>
          <w:b w:val="0"/>
          <w:bCs w:val="0"/>
          <w:sz w:val="24"/>
          <w:szCs w:val="24"/>
          <w:lang w:val="en-US" w:eastAsia="zh-CN"/>
        </w:rPr>
        <w:t>（5）抽真空期间真空管内真空度应大于 90kPa，膜下真空度宜大于 80kPa；</w:t>
      </w:r>
    </w:p>
    <w:p>
      <w:pPr>
        <w:numPr>
          <w:ilvl w:val="0"/>
          <w:numId w:val="0"/>
        </w:numPr>
        <w:rPr>
          <w:rFonts w:hint="eastAsia"/>
          <w:b w:val="0"/>
          <w:bCs w:val="0"/>
          <w:sz w:val="24"/>
          <w:szCs w:val="24"/>
          <w:lang w:val="en-US" w:eastAsia="zh-CN"/>
        </w:rPr>
      </w:pPr>
      <w:r>
        <w:rPr>
          <w:rFonts w:hint="eastAsia"/>
          <w:b w:val="0"/>
          <w:bCs w:val="0"/>
          <w:sz w:val="24"/>
          <w:szCs w:val="24"/>
          <w:lang w:val="en-US" w:eastAsia="zh-CN"/>
        </w:rPr>
        <w:t>（6）堆载高度不应小于设计总荷载的折算高度；</w:t>
      </w:r>
    </w:p>
    <w:p>
      <w:pPr>
        <w:numPr>
          <w:ilvl w:val="0"/>
          <w:numId w:val="0"/>
        </w:numPr>
        <w:rPr>
          <w:rFonts w:hint="eastAsia"/>
          <w:b w:val="0"/>
          <w:bCs w:val="0"/>
          <w:sz w:val="24"/>
          <w:szCs w:val="24"/>
          <w:lang w:val="en-US" w:eastAsia="zh-CN"/>
        </w:rPr>
      </w:pPr>
      <w:r>
        <w:rPr>
          <w:rFonts w:hint="eastAsia"/>
          <w:b w:val="0"/>
          <w:bCs w:val="0"/>
          <w:sz w:val="24"/>
          <w:szCs w:val="24"/>
          <w:lang w:val="en-US" w:eastAsia="zh-CN"/>
        </w:rPr>
        <w:t>（7）对主要以变形控制设计的建筑物地基，地基土经预压所完成的变形量和平均固结度应满足设计要求；对以地基承载力或抗滑稳定性控制设计的建筑物地基，地基土经预压后其强度应满足建筑物地基承载力或稳定性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主要参考标准：《建筑地基基础工程施工规范》GB51004、《建筑地基处理技术规范》JGJ79。</w:t>
      </w:r>
    </w:p>
    <w:p>
      <w:pPr>
        <w:numPr>
          <w:numId w:val="0"/>
        </w:numPr>
        <w:ind w:leftChars="0"/>
        <w:rPr>
          <w:rFonts w:hint="eastAsia"/>
          <w:b w:val="0"/>
          <w:bCs w:val="0"/>
          <w:sz w:val="24"/>
          <w:szCs w:val="24"/>
          <w:lang w:val="en-US" w:eastAsia="zh-CN"/>
        </w:rPr>
      </w:pPr>
      <w:r>
        <w:rPr>
          <w:rFonts w:hint="eastAsia"/>
          <w:b/>
          <w:bCs/>
          <w:sz w:val="24"/>
          <w:szCs w:val="24"/>
          <w:lang w:val="en-US" w:eastAsia="zh-CN"/>
        </w:rPr>
        <w:t>1.6装配式支护结构施工技术指标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预制地下连续墙：</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（1）通常预制墙段厚度较成槽机抓斗厚度小 20mm 左右，常用的墙厚有 580mm、780mm，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一般适用于 9m 以内的基坑；</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（2）应根据运输及起吊设备能力、施工现场道路和堆放场地条件，合理确定分幅和预制件长度，墙体分幅宽度应满足成槽稳定性要求；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（3）成槽顺序宜先施工 L 形槽段，再施工一字形槽段；</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（4）相邻槽段应连续成槽，幅间接头宜采用现浇接头。</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预应力鱼腹梁支撑：</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（1）型钢立柱的垂直度控制在 1/200 以内；型钢立柱与支撑梁托座要用高强螺栓连接；</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（2）施工围檩时，牛腿平整度误差要控制在 2mm 以内，且不能下垂，平直度用拉绳和长靠尺或钢尺检查，如有误差则进行校正，校正后采用焊接固定；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（3）整个基坑内的支撑梁要求必须保证水平，并且支撑梁必须能承受架设在其上方的支撑自重和来自上部结构的其他荷载；</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（4）预应力鱼腹梁支撑的拆除是安装作业的逆顺序。</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工具式组合内支撑：</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（1）标准组合支撑构件跨度为 8m、9m、12m 等；</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（2）竖向构件高度为 3m、4m、5m 等；</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（3）受压杆件的长细比不应大于 150，受拉杆件的长细比不应大于 200；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（4）进行构件内力监测的数量不少于构件总数量的 15%；</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（5）围檩构件为 1.5m、3m、6m、9m、12m。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主要参考标准：《钢结构设计规范》GB50017、《建筑基坑支护技术规程》JGJ120</w:t>
      </w:r>
    </w:p>
    <w:p>
      <w:pPr>
        <w:numPr>
          <w:numId w:val="0"/>
        </w:numPr>
        <w:ind w:leftChars="0"/>
        <w:rPr>
          <w:rFonts w:hint="eastAsia"/>
          <w:b w:val="0"/>
          <w:bCs w:val="0"/>
          <w:sz w:val="28"/>
          <w:szCs w:val="28"/>
          <w:lang w:val="en-US" w:eastAsia="zh-CN"/>
        </w:rPr>
      </w:pPr>
      <w:r>
        <w:rPr>
          <w:rFonts w:hint="eastAsia"/>
          <w:b/>
          <w:bCs/>
          <w:sz w:val="24"/>
          <w:szCs w:val="24"/>
          <w:lang w:val="en-US" w:eastAsia="zh-CN"/>
        </w:rPr>
        <w:t>1.7型钢水泥土复合搅拌桩支护结构技术指标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（1）型钢水泥土搅拌墙的计算与验算应包括内力和变形计算、整体稳定性验算、抗倾覆稳定性验算、坑底抗隆起稳定性验算、抗渗流稳定性验算和坑外土体变形估算；</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（2）型钢水泥土搅拌墙中三轴水泥土搅拌桩的直径宜采用 650mm、850mm、1000mm，内插H 形钢或预制混凝土构件；</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（3）水泥土复合搅拌桩 28d 无侧限抗压强度标准值不宜小于 0.5MPa；</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（4）搅拌桩的入土深度宜比型钢的插入深度深 0.5～1.0m；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（5）搅拌桩体与内插型钢的垂直度偏差不应大于 1/200；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（6）当搅拌桩达到设计强度，且龄期不小于 28d 后方可进行基坑开挖；</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（7）TRD 工法等厚度水泥土搅拌墙 28d 龄期无侧限抗压强度不应小于设计要求且不宜小于</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0.8MPa；水泥宜采用强度等级不低于 P.O 42.5 级的普通硅酸盐水泥，水泥土搅拌墙正式施</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工之前应通过现场试成墙试验以确定具体施工参数（材料用量和水灰比等）。</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（8）双轮铣深层搅拌工法（CSM 工法）成槽设备在施工过程中采用泥浆护壁来防止槽壁坍塌；膨润土泥浆的配合比通常为 70~90kg/m3（取决于膨润土的质量），泥浆密度约为 1.05kg/cm3，粘度要超过 40s（马氏漏斗粘度）。</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主要参照标准：《型钢水泥土搅拌墙技术规程》JGJ/T199、《建筑基坑支护技术规程》JGJ120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等。</w:t>
      </w:r>
    </w:p>
    <w:p>
      <w:pPr>
        <w:numPr>
          <w:numId w:val="0"/>
        </w:numPr>
        <w:ind w:leftChars="0"/>
        <w:rPr>
          <w:rFonts w:hint="eastAsia"/>
          <w:b w:val="0"/>
          <w:bCs w:val="0"/>
          <w:sz w:val="24"/>
          <w:szCs w:val="24"/>
          <w:lang w:val="en-US" w:eastAsia="zh-CN"/>
        </w:rPr>
      </w:pPr>
      <w:r>
        <w:rPr>
          <w:rFonts w:hint="eastAsia"/>
          <w:b/>
          <w:bCs/>
          <w:sz w:val="24"/>
          <w:szCs w:val="24"/>
          <w:lang w:val="en-US" w:eastAsia="zh-CN"/>
        </w:rPr>
        <w:t>1.8地下连续墙施工技术</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地下连续墙根据施工工艺，可分为导墙制作、泥浆制备、成槽施工、混凝土水下浇筑、接头</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施工等。主要技术指标为：</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（1）新拌制泥浆指标：比重 1.03~1.10，粘度 22s~35s，胶体率大于 98%，失水量小于 30ml/30min，泥皮厚度小于 1mm，pH 值 8~9；</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（2）循环泥浆指标：比重 1.05~1.25，粘度 22s~40s，胶体率大于 98%，失水量小于 30ml/30min，泥皮厚度小于 3mm，pH 值 8~11，含砂率小于 7%；</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（3）清基后泥浆指标：密度不大于 1.20，粘度 20s~30s，含砂率小于 7%，pH 值 8~10；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（4）混凝土：坍落度 200mm±20mm，抗压强度和抗渗压力符合设计要求；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实际工程中，以上参数应根据土的类别、地下连续墙的结构用途、成槽形式等因素适当调整，</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并通过现场试成槽试验最终确定。</w:t>
      </w:r>
    </w:p>
    <w:p>
      <w:pPr>
        <w:numPr>
          <w:numId w:val="0"/>
        </w:numPr>
        <w:ind w:leftChars="0"/>
        <w:rPr>
          <w:rFonts w:hint="eastAsia"/>
          <w:b w:val="0"/>
          <w:bCs w:val="0"/>
          <w:sz w:val="24"/>
          <w:szCs w:val="24"/>
          <w:lang w:val="en-US" w:eastAsia="zh-CN"/>
        </w:rPr>
      </w:pPr>
      <w:r>
        <w:rPr>
          <w:rFonts w:hint="eastAsia"/>
          <w:b/>
          <w:bCs/>
          <w:sz w:val="24"/>
          <w:szCs w:val="24"/>
          <w:lang w:val="en-US" w:eastAsia="zh-CN"/>
        </w:rPr>
        <w:t>1.9逆作法施工技术指标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（1）竖向支承结构宜采用一柱一桩的形式，立柱长细比不应大于 25。立柱采用格构柱时，其边长不宜小于 420mm，采用钢管混凝土柱时，钢管直径不宜小于 500mm。立柱及立柱桩的平面位置允许偏差为 10mm，立柱的垂直度允许偏差为 1/300，立柱桩的垂直度允许偏差为 1/200。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（2）主体结构底板施工前，立柱桩之间及立柱桩与地下连续墙之间的差异沉降不宜大于</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20mm，且不宜大于柱距的 1/400。立柱桩采用钻孔灌注桩时，可采用后注浆措施，以减小立柱桩的沉降。</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水平支撑与主体结构水平构件相结合时，同层楼板面存在高差的部位，应验算该部位构件的受弯、受剪和受扭承载能力，在结构楼板的洞口及车道开口部位，当洞口两侧的梁板不能满足传力要求时，应采用设置临时支撑等措施。</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逆作法施工技术应符合《建筑地基基础设计规范》GB50007、《建筑基坑支护技术规程》JGJ120、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《地下建筑工程逆作法技术规程》JGJ165 的相关规定。</w:t>
      </w:r>
    </w:p>
    <w:p>
      <w:pPr>
        <w:numPr>
          <w:numId w:val="0"/>
        </w:numPr>
        <w:ind w:leftChars="0"/>
        <w:rPr>
          <w:rFonts w:hint="eastAsia"/>
          <w:b/>
          <w:bCs/>
          <w:sz w:val="24"/>
          <w:szCs w:val="24"/>
          <w:lang w:val="en-US" w:eastAsia="zh-CN"/>
        </w:rPr>
      </w:pPr>
      <w:r>
        <w:rPr>
          <w:rFonts w:hint="eastAsia"/>
          <w:b/>
          <w:bCs/>
          <w:sz w:val="24"/>
          <w:szCs w:val="24"/>
          <w:lang w:val="en-US" w:eastAsia="zh-CN"/>
        </w:rPr>
        <w:t>1.10超浅埋暗挖施工技术指标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（1）地下通道顶部覆盖土厚度 H 与其暗挖断面跨度 A(矩形底边宽度)之比 H/A≤0.4；</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（2）管棚：钢管管径 90～1000mm，管壁厚度 8、12、14、16mm，长度为 24～150m；浆液水灰比宜为 0.8～1，当采用双液注浆时，水泥浆液与水玻璃的比例宜为 1:1；</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（3）注浆加固渗透系数应不大于 1.0×10-6cm/s；</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（4）型钢拱架间距 500～750mm；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主要参照标准：《钢结构设计规范》GB50017。</w:t>
      </w:r>
    </w:p>
    <w:p>
      <w:pPr>
        <w:numPr>
          <w:numId w:val="0"/>
        </w:numPr>
        <w:ind w:leftChars="0"/>
        <w:rPr>
          <w:rFonts w:hint="eastAsia"/>
          <w:b w:val="0"/>
          <w:bCs w:val="0"/>
          <w:sz w:val="24"/>
          <w:szCs w:val="24"/>
          <w:lang w:val="en-US" w:eastAsia="zh-CN"/>
        </w:rPr>
      </w:pPr>
      <w:r>
        <w:rPr>
          <w:rFonts w:hint="eastAsia"/>
          <w:b/>
          <w:bCs/>
          <w:sz w:val="24"/>
          <w:szCs w:val="24"/>
          <w:lang w:val="en-US" w:eastAsia="zh-CN"/>
        </w:rPr>
        <w:t>1.11复杂盾构法施工技术指标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（1）承受荷载：设计盾构时需要考虑的荷载，如土压力、水压力、自重、上覆荷载的影响、</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变向荷载、开挖面前方土压力及其他荷载。</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（2）盾构外径：所谓盾构外径，是指盾壳的外径，不考虑超挖刀头、摩擦旋转式刀盘、固定翼、壁后注浆用配管等突出部分。</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（3）盾构长度：盾构本体长度指壳板长度的最大值，而盾构机长度则指盾构的前端到尾端的长度。盾构总长系指盾构前端至后端长度的最大值。</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（4）总推力：盾构的推进阻力组成包括盾构四周外表面和土之间的摩擦力或粘结阻力（F1）；</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推进时，口环刃口前端产生的贯入阻力（F2）；开挖面前方阻力(F3)；变向阻力（曲线施工、蛇形修正、变向用稳定翼、挡板阻力等）（F4）；盾尾内的管片和壳板之间的摩擦力（F5）；后方台车的牵引阻力（F6）。以上各种推进阻力的总和（∑F），须对各种影响因素仔细考虑，留出必要的余量。</w:t>
      </w:r>
    </w:p>
    <w:p>
      <w:pPr>
        <w:numPr>
          <w:numId w:val="0"/>
        </w:numPr>
        <w:ind w:leftChars="0"/>
        <w:rPr>
          <w:rFonts w:hint="eastAsia"/>
          <w:b w:val="0"/>
          <w:bCs w:val="0"/>
          <w:sz w:val="24"/>
          <w:szCs w:val="24"/>
          <w:lang w:val="en-US" w:eastAsia="zh-CN"/>
        </w:rPr>
      </w:pPr>
      <w:r>
        <w:rPr>
          <w:rFonts w:hint="eastAsia"/>
          <w:b/>
          <w:bCs/>
          <w:sz w:val="24"/>
          <w:szCs w:val="24"/>
          <w:lang w:val="en-US" w:eastAsia="zh-CN"/>
        </w:rPr>
        <w:t>1.12非开挖埋管施工技术指标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（1）顶管法</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1）根据工程实际分析螺旋机在不同压力及土质条件下的出土能力变化趋势，设计设定出适应工程的螺旋机智能调速功能，应对不同土层对出土机制的影响；</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2）利用带球阀和有自动开闭的压浆装置，结合智能操控平台，使每个注浆孔都被纳入自动控制范围，远程操控、设定压浆参数，合理分配压浆量，在比较坚硬的卵石土层应设定多分配压浆</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量，比较松软、富水土层少压浆或可不压，起到有的放矢的功效；</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3）预应力钢筒混凝土管顶管施工承压管道，采用特制的中继环系统，中继环承插口应按照预应力钢筒混凝土管承插口精度要求制作，保证与其他管节接口密封性能良好；</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4）预应力钢筒混凝土顶管管节接口拼接施工，利用三维立体式拼接系统时，在承插口距离临近时，应控制顶进速度 0.001m/s，宜慢不宜快。</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（2）定向钻进穿越</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1）采用无线传输仪器进行随钻测量，免除有线传输带来的距离限制，在井眼位置安装信号接收仪器，及时反馈轨道监测数据以及掌握钻向动态。</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2）根据土层情况设定旋转钻头方向参数以及孔底马达的动力参数，结合远程操控平台智能化进行钻进穿越施工。</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（3）大断面矩形地下通道掘进施工技术</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地下通道最大宽度 6.9m；地下通道最大高度 4.3m。</w:t>
      </w:r>
    </w:p>
    <w:p>
      <w:pPr>
        <w:numPr>
          <w:numId w:val="0"/>
        </w:numPr>
        <w:ind w:leftChars="0"/>
        <w:rPr>
          <w:rFonts w:hint="eastAsia"/>
          <w:b/>
          <w:bCs/>
          <w:sz w:val="24"/>
          <w:szCs w:val="24"/>
          <w:lang w:val="en-US" w:eastAsia="zh-CN"/>
        </w:rPr>
      </w:pPr>
      <w:r>
        <w:rPr>
          <w:rFonts w:hint="eastAsia"/>
          <w:b/>
          <w:bCs/>
          <w:sz w:val="24"/>
          <w:szCs w:val="24"/>
          <w:lang w:val="en-US" w:eastAsia="zh-CN"/>
        </w:rPr>
        <w:t>1.13综合管廊施工技术指标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（1）明挖法</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1）基础工程</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综合管廊工程基坑（槽）开挖前，应根据围护结构的类型、工程水文地质条件、施工工艺和地面荷载等因素制定施工方案。</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基坑回填应在综合管廊结构及防水工程验收合格后进行。回填材料应符合设计要求及国家现行标准的有关规定。管廊两侧回填应对称、分层、均匀。管廊顶板上部 1000mm 范围内回填材料应采用人工分层夯实，大型碾压机不得直接在管廊顶板上部施工。综合管廊回填土压实度应符合设计要求。</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综合管廊基础施工及质量验收应符合《建筑地基基础工程施工质量验收规范》GB 50202 的有关规定。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2）现浇结构</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综合管廊模板施工前，应根据结构形式、施工工艺、设备和材料供应条件进行模板及支架设</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计。模板及支撑的强度、刚度及稳定性应满足受力要求。</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混凝土的浇筑应在模板和支架检验合格后进行。入模时应防止离析；连续浇筑时，每层浇筑高度应满足振捣密实的要求；预留孔、预埋管、预埋件及止水带等周边混凝土浇筑时，应辅助人工插捣。</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混凝土底板和顶板应连续浇筑不得留置施工缝，设计有变形缝时，应按变形缝分仓浇筑。</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混凝土施工质量验收应符合现行国家标准《混凝土结构工程施工质量验收规范》GB 50204 的</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有关规定。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3）预制拼装结构</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预制拼装钢筋混凝土构件的模板，应采用精加工的钢模板。</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构件堆放的场地应平整夯实，并应具有良好的排水措施。构件运输及吊装时，混凝土强度应</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符合设计要求。当设计无要求时，不应低于设计强度的 75%。</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预制构件安装前应对其外观、裂缝等情况应按设计要求及现行国家标准《混凝土结构工程施工质量验收规范》GB 50204 的有关规定进行结构性能检验。当构件上有裂缝且宽度超过 0.2mm 时，应进行鉴定。</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预制构件和现浇构件之间、预制构件之间的连接应按设计要求进行施工。预制拼装综合管廊结构采用预应力筋连接接头或螺栓连接接头时，其拼缝接头的受弯承载力应满足设计要求。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螺栓的材质、规格、拧紧力矩应符合设计要求及《钢结构设计规范》GB 50017 和《钢结构工程施工质量验收规范》GB 50205 的有关规定。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（2）暗挖法</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1）盾构法</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盾构法的技术指标应符合《盾构法隧道施工与验收规范》GB 50446 的有关规定。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2）顶管法</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计算施工顶力时，应综合考虑管节材质、顶进工作井后背墙结构的允许最大荷载、顶进设备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能力、施工技术措施等因素。施工最大顶力应大于顶进阻力，但不得超过管材或工作井后背墙的允许顶力。</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一次顶进距离大于 100m 时，应采取中继间技术。</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顶管法的技术指标应符合《给水排水管道工程施工及验收规范》GB50268 的有关规定。</w:t>
      </w:r>
    </w:p>
    <w:p>
      <w:pPr>
        <w:numPr>
          <w:numId w:val="0"/>
        </w:numPr>
        <w:ind w:leftChars="0"/>
        <w:rPr>
          <w:rFonts w:hint="eastAsia"/>
          <w:b/>
          <w:bCs/>
          <w:sz w:val="32"/>
          <w:szCs w:val="32"/>
          <w:lang w:val="en-US" w:eastAsia="zh-CN"/>
        </w:rPr>
      </w:pPr>
      <w:r>
        <w:rPr>
          <w:rFonts w:hint="eastAsia"/>
          <w:b/>
          <w:bCs/>
          <w:sz w:val="32"/>
          <w:szCs w:val="32"/>
          <w:lang w:val="en-US" w:eastAsia="zh-CN"/>
        </w:rPr>
        <w:t>二．钢筋与混凝土技术</w:t>
      </w:r>
    </w:p>
    <w:p>
      <w:pPr>
        <w:numPr>
          <w:numId w:val="0"/>
        </w:numPr>
        <w:rPr>
          <w:rFonts w:hint="eastAsia"/>
          <w:b/>
          <w:bCs/>
          <w:sz w:val="24"/>
          <w:szCs w:val="24"/>
          <w:lang w:val="en-US" w:eastAsia="zh-CN"/>
        </w:rPr>
      </w:pPr>
      <w:r>
        <w:rPr>
          <w:rFonts w:hint="eastAsia"/>
          <w:b/>
          <w:bCs/>
          <w:sz w:val="24"/>
          <w:szCs w:val="24"/>
          <w:lang w:val="en-US" w:eastAsia="zh-CN"/>
        </w:rPr>
        <w:t>2.1高耐久性混凝土技术</w:t>
      </w:r>
    </w:p>
    <w:p>
      <w:pPr>
        <w:numPr>
          <w:ilvl w:val="0"/>
          <w:numId w:val="0"/>
        </w:numPr>
        <w:rPr>
          <w:rFonts w:hint="eastAsia"/>
          <w:b w:val="0"/>
          <w:bCs w:val="0"/>
          <w:sz w:val="24"/>
          <w:szCs w:val="24"/>
          <w:lang w:val="en-US" w:eastAsia="zh-CN"/>
        </w:rPr>
      </w:pPr>
      <w:r>
        <w:rPr>
          <w:rFonts w:hint="eastAsia"/>
          <w:b w:val="0"/>
          <w:bCs w:val="0"/>
          <w:sz w:val="24"/>
          <w:szCs w:val="24"/>
          <w:lang w:val="en-US" w:eastAsia="zh-CN"/>
        </w:rPr>
        <w:t>（1）工作性</w:t>
      </w:r>
    </w:p>
    <w:p>
      <w:pPr>
        <w:numPr>
          <w:ilvl w:val="0"/>
          <w:numId w:val="0"/>
        </w:numPr>
        <w:rPr>
          <w:rFonts w:hint="eastAsia"/>
          <w:b w:val="0"/>
          <w:bCs w:val="0"/>
          <w:sz w:val="24"/>
          <w:szCs w:val="24"/>
          <w:lang w:val="en-US" w:eastAsia="zh-CN"/>
        </w:rPr>
      </w:pPr>
      <w:r>
        <w:rPr>
          <w:rFonts w:hint="eastAsia"/>
          <w:b w:val="0"/>
          <w:bCs w:val="0"/>
          <w:sz w:val="24"/>
          <w:szCs w:val="24"/>
          <w:lang w:val="en-US" w:eastAsia="zh-CN"/>
        </w:rPr>
        <w:t>根据工程特点和施工条件，确定合适的坍落度或扩展度指标；和易性良好；坍落度经时损失</w:t>
      </w:r>
    </w:p>
    <w:p>
      <w:pPr>
        <w:numPr>
          <w:ilvl w:val="0"/>
          <w:numId w:val="0"/>
        </w:numPr>
        <w:rPr>
          <w:rFonts w:hint="eastAsia"/>
          <w:b w:val="0"/>
          <w:bCs w:val="0"/>
          <w:sz w:val="24"/>
          <w:szCs w:val="24"/>
          <w:lang w:val="en-US" w:eastAsia="zh-CN"/>
        </w:rPr>
      </w:pPr>
      <w:r>
        <w:rPr>
          <w:rFonts w:hint="eastAsia"/>
          <w:b w:val="0"/>
          <w:bCs w:val="0"/>
          <w:sz w:val="24"/>
          <w:szCs w:val="24"/>
          <w:lang w:val="en-US" w:eastAsia="zh-CN"/>
        </w:rPr>
        <w:t>满足施工要求，具有良好的充填模板和通过钢筋间隙的性能。</w:t>
      </w:r>
    </w:p>
    <w:p>
      <w:pPr>
        <w:numPr>
          <w:ilvl w:val="0"/>
          <w:numId w:val="0"/>
        </w:numPr>
        <w:rPr>
          <w:rFonts w:hint="eastAsia"/>
          <w:b w:val="0"/>
          <w:bCs w:val="0"/>
          <w:sz w:val="24"/>
          <w:szCs w:val="24"/>
          <w:lang w:val="en-US" w:eastAsia="zh-CN"/>
        </w:rPr>
      </w:pPr>
      <w:r>
        <w:rPr>
          <w:rFonts w:hint="eastAsia"/>
          <w:b w:val="0"/>
          <w:bCs w:val="0"/>
          <w:sz w:val="24"/>
          <w:szCs w:val="24"/>
          <w:lang w:val="en-US" w:eastAsia="zh-CN"/>
        </w:rPr>
        <w:t>（2）力学及变形性能</w:t>
      </w:r>
    </w:p>
    <w:p>
      <w:pPr>
        <w:numPr>
          <w:ilvl w:val="0"/>
          <w:numId w:val="0"/>
        </w:numPr>
        <w:rPr>
          <w:rFonts w:hint="eastAsia"/>
          <w:b w:val="0"/>
          <w:bCs w:val="0"/>
          <w:sz w:val="24"/>
          <w:szCs w:val="24"/>
          <w:lang w:val="en-US" w:eastAsia="zh-CN"/>
        </w:rPr>
      </w:pPr>
      <w:r>
        <w:rPr>
          <w:rFonts w:hint="eastAsia"/>
          <w:b w:val="0"/>
          <w:bCs w:val="0"/>
          <w:sz w:val="24"/>
          <w:szCs w:val="24"/>
          <w:lang w:val="en-US" w:eastAsia="zh-CN"/>
        </w:rPr>
        <w:t>混凝土强度等级宜≥C40；体积稳定性好，弹性模量与同强度等级的普通混凝土基本相同。</w:t>
      </w:r>
    </w:p>
    <w:p>
      <w:pPr>
        <w:numPr>
          <w:ilvl w:val="0"/>
          <w:numId w:val="0"/>
        </w:numPr>
        <w:rPr>
          <w:rFonts w:hint="eastAsia"/>
          <w:b w:val="0"/>
          <w:bCs w:val="0"/>
          <w:sz w:val="24"/>
          <w:szCs w:val="24"/>
          <w:lang w:val="en-US" w:eastAsia="zh-CN"/>
        </w:rPr>
      </w:pPr>
      <w:r>
        <w:rPr>
          <w:rFonts w:hint="eastAsia"/>
          <w:b w:val="0"/>
          <w:bCs w:val="0"/>
          <w:sz w:val="24"/>
          <w:szCs w:val="24"/>
          <w:lang w:val="en-US" w:eastAsia="zh-CN"/>
        </w:rPr>
        <w:t>（3）耐久性</w:t>
      </w:r>
    </w:p>
    <w:p>
      <w:pPr>
        <w:numPr>
          <w:ilvl w:val="0"/>
          <w:numId w:val="0"/>
        </w:numPr>
        <w:rPr>
          <w:rFonts w:hint="eastAsia"/>
          <w:b w:val="0"/>
          <w:bCs w:val="0"/>
          <w:sz w:val="24"/>
          <w:szCs w:val="24"/>
          <w:lang w:val="en-US" w:eastAsia="zh-CN"/>
        </w:rPr>
      </w:pPr>
      <w:r>
        <w:rPr>
          <w:rFonts w:hint="eastAsia"/>
          <w:b w:val="0"/>
          <w:bCs w:val="0"/>
          <w:sz w:val="24"/>
          <w:szCs w:val="24"/>
          <w:lang w:val="en-US" w:eastAsia="zh-CN"/>
        </w:rPr>
        <w:t>可根据具体工程情况，按照《混凝土结构耐久性设计规范》GB/T 50467、《混凝土耐久性检</w:t>
      </w:r>
    </w:p>
    <w:p>
      <w:pPr>
        <w:numPr>
          <w:ilvl w:val="0"/>
          <w:numId w:val="0"/>
        </w:numPr>
        <w:rPr>
          <w:rFonts w:hint="eastAsia"/>
          <w:b w:val="0"/>
          <w:bCs w:val="0"/>
          <w:sz w:val="24"/>
          <w:szCs w:val="24"/>
          <w:lang w:val="en-US" w:eastAsia="zh-CN"/>
        </w:rPr>
      </w:pPr>
      <w:r>
        <w:rPr>
          <w:rFonts w:hint="eastAsia"/>
          <w:b w:val="0"/>
          <w:bCs w:val="0"/>
          <w:sz w:val="24"/>
          <w:szCs w:val="24"/>
          <w:lang w:val="en-US" w:eastAsia="zh-CN"/>
        </w:rPr>
        <w:t>验评定标准》JGJ/T193 及上述技术内容中的耐久性技术指标进行控制；对于极端严酷环境和重大工程，宜针对性地开展耐久性专题研究。</w:t>
      </w:r>
    </w:p>
    <w:p>
      <w:pPr>
        <w:numPr>
          <w:ilvl w:val="0"/>
          <w:numId w:val="0"/>
        </w:numPr>
        <w:rPr>
          <w:rFonts w:hint="eastAsia"/>
          <w:b w:val="0"/>
          <w:bCs w:val="0"/>
          <w:sz w:val="24"/>
          <w:szCs w:val="24"/>
          <w:lang w:val="en-US" w:eastAsia="zh-CN"/>
        </w:rPr>
      </w:pPr>
      <w:r>
        <w:rPr>
          <w:rFonts w:hint="eastAsia"/>
          <w:b w:val="0"/>
          <w:bCs w:val="0"/>
          <w:sz w:val="24"/>
          <w:szCs w:val="24"/>
          <w:lang w:val="en-US" w:eastAsia="zh-CN"/>
        </w:rPr>
        <w:t>耐久性试验方法宜采用《普通混凝土长期性能和耐久性能试验方法标准》GB/T50082 和《预</w:t>
      </w:r>
    </w:p>
    <w:p>
      <w:pPr>
        <w:numPr>
          <w:ilvl w:val="0"/>
          <w:numId w:val="0"/>
        </w:numPr>
        <w:rPr>
          <w:rFonts w:hint="eastAsia"/>
          <w:b w:val="0"/>
          <w:bCs w:val="0"/>
          <w:sz w:val="24"/>
          <w:szCs w:val="24"/>
          <w:lang w:val="en-US" w:eastAsia="zh-CN"/>
        </w:rPr>
      </w:pPr>
      <w:r>
        <w:rPr>
          <w:rFonts w:hint="eastAsia"/>
          <w:b w:val="0"/>
          <w:bCs w:val="0"/>
          <w:sz w:val="24"/>
          <w:szCs w:val="24"/>
          <w:lang w:val="en-US" w:eastAsia="zh-CN"/>
        </w:rPr>
        <w:t>防混凝土碱骨料反应技术规范》GB/T 50733 规定的方法。</w:t>
      </w:r>
    </w:p>
    <w:p>
      <w:pPr>
        <w:numPr>
          <w:ilvl w:val="0"/>
          <w:numId w:val="0"/>
        </w:numPr>
        <w:rPr>
          <w:rFonts w:hint="eastAsia"/>
          <w:b w:val="0"/>
          <w:bCs w:val="0"/>
          <w:sz w:val="24"/>
          <w:szCs w:val="24"/>
          <w:lang w:val="en-US" w:eastAsia="zh-CN"/>
        </w:rPr>
      </w:pPr>
      <w:r>
        <w:rPr>
          <w:rFonts w:hint="eastAsia"/>
          <w:b/>
          <w:bCs/>
          <w:sz w:val="24"/>
          <w:szCs w:val="24"/>
          <w:lang w:val="en-US" w:eastAsia="zh-CN"/>
        </w:rPr>
        <w:t>2.2高强高性能混凝土技术指标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（1）工作性</w:t>
      </w:r>
    </w:p>
    <w:p>
      <w:pPr>
        <w:numPr>
          <w:ilvl w:val="0"/>
          <w:numId w:val="0"/>
        </w:numPr>
        <w:rPr>
          <w:rFonts w:hint="eastAsia"/>
          <w:b w:val="0"/>
          <w:bCs w:val="0"/>
          <w:sz w:val="24"/>
          <w:szCs w:val="24"/>
          <w:lang w:val="en-US" w:eastAsia="zh-CN"/>
        </w:rPr>
      </w:pPr>
      <w:r>
        <w:rPr>
          <w:rFonts w:hint="eastAsia"/>
          <w:b w:val="0"/>
          <w:bCs w:val="0"/>
          <w:sz w:val="24"/>
          <w:szCs w:val="24"/>
          <w:lang w:val="en-US" w:eastAsia="zh-CN"/>
        </w:rPr>
        <w:t>新拌 HS-HPC 最主要的特点是粘度大，为降低混凝土的粘性，宜掺入能够降低混凝土粘性且</w:t>
      </w:r>
    </w:p>
    <w:p>
      <w:pPr>
        <w:numPr>
          <w:ilvl w:val="0"/>
          <w:numId w:val="0"/>
        </w:numPr>
        <w:rPr>
          <w:rFonts w:hint="eastAsia"/>
          <w:b w:val="0"/>
          <w:bCs w:val="0"/>
          <w:sz w:val="24"/>
          <w:szCs w:val="24"/>
          <w:lang w:val="en-US" w:eastAsia="zh-CN"/>
        </w:rPr>
      </w:pPr>
      <w:r>
        <w:rPr>
          <w:rFonts w:hint="eastAsia"/>
          <w:b w:val="0"/>
          <w:bCs w:val="0"/>
          <w:sz w:val="24"/>
          <w:szCs w:val="24"/>
          <w:lang w:val="en-US" w:eastAsia="zh-CN"/>
        </w:rPr>
        <w:t>对混凝土强度无负面影响的外加剂，如降粘型外加剂、降粘增强剂等。UHPC 的水胶比更低，粘性更大，宜掺入能降低混凝土粘性的功能型外加剂，如降粘增强剂等。</w:t>
      </w:r>
    </w:p>
    <w:p>
      <w:pPr>
        <w:numPr>
          <w:ilvl w:val="0"/>
          <w:numId w:val="0"/>
        </w:numPr>
        <w:rPr>
          <w:rFonts w:hint="eastAsia"/>
          <w:b w:val="0"/>
          <w:bCs w:val="0"/>
          <w:sz w:val="24"/>
          <w:szCs w:val="24"/>
          <w:lang w:val="en-US" w:eastAsia="zh-CN"/>
        </w:rPr>
      </w:pPr>
      <w:r>
        <w:rPr>
          <w:rFonts w:hint="eastAsia"/>
          <w:b w:val="0"/>
          <w:bCs w:val="0"/>
          <w:sz w:val="24"/>
          <w:szCs w:val="24"/>
          <w:lang w:val="en-US" w:eastAsia="zh-CN"/>
        </w:rPr>
        <w:t>混凝土拌合物的技术指标主要是坍落度、扩展度和倒坍落度筒混凝土流下时间（简称倒筒时</w:t>
      </w:r>
    </w:p>
    <w:p>
      <w:pPr>
        <w:numPr>
          <w:ilvl w:val="0"/>
          <w:numId w:val="0"/>
        </w:numPr>
        <w:rPr>
          <w:rFonts w:hint="eastAsia"/>
          <w:b w:val="0"/>
          <w:bCs w:val="0"/>
          <w:sz w:val="24"/>
          <w:szCs w:val="24"/>
          <w:lang w:val="en-US" w:eastAsia="zh-CN"/>
        </w:rPr>
      </w:pPr>
      <w:r>
        <w:rPr>
          <w:rFonts w:hint="eastAsia"/>
          <w:b w:val="0"/>
          <w:bCs w:val="0"/>
          <w:sz w:val="24"/>
          <w:szCs w:val="24"/>
          <w:lang w:val="en-US" w:eastAsia="zh-CN"/>
        </w:rPr>
        <w:t>间）等。对于 HS-HPC，混凝土坍落度不宜小于 220mm，扩展度不宜小于 500mm，倒置坍落度筒排空时间宜为 5~20s，混凝土经时损失不宜大于 30mm/h。</w:t>
      </w:r>
    </w:p>
    <w:p>
      <w:pPr>
        <w:numPr>
          <w:ilvl w:val="0"/>
          <w:numId w:val="0"/>
        </w:numPr>
        <w:rPr>
          <w:rFonts w:hint="eastAsia"/>
          <w:b w:val="0"/>
          <w:bCs w:val="0"/>
          <w:sz w:val="24"/>
          <w:szCs w:val="24"/>
          <w:lang w:val="en-US" w:eastAsia="zh-CN"/>
        </w:rPr>
      </w:pPr>
      <w:r>
        <w:rPr>
          <w:rFonts w:hint="eastAsia"/>
          <w:b w:val="0"/>
          <w:bCs w:val="0"/>
          <w:sz w:val="24"/>
          <w:szCs w:val="24"/>
          <w:lang w:val="en-US" w:eastAsia="zh-CN"/>
        </w:rPr>
        <w:t>（2）HS-HPC 的配制强度可按公式 fcu,0≥1.15fcu,k计算；</w:t>
      </w:r>
    </w:p>
    <w:p>
      <w:pPr>
        <w:numPr>
          <w:ilvl w:val="0"/>
          <w:numId w:val="0"/>
        </w:numPr>
        <w:rPr>
          <w:rFonts w:hint="eastAsia"/>
          <w:b w:val="0"/>
          <w:bCs w:val="0"/>
          <w:sz w:val="24"/>
          <w:szCs w:val="24"/>
          <w:lang w:val="en-US" w:eastAsia="zh-CN"/>
        </w:rPr>
      </w:pPr>
      <w:r>
        <w:rPr>
          <w:rFonts w:hint="eastAsia"/>
          <w:b w:val="0"/>
          <w:bCs w:val="0"/>
          <w:sz w:val="24"/>
          <w:szCs w:val="24"/>
          <w:lang w:val="en-US" w:eastAsia="zh-CN"/>
        </w:rPr>
        <w:t>UHPC 的配制强度可按公式 fcu,0≥1.1fcu,k计算；</w:t>
      </w:r>
    </w:p>
    <w:p>
      <w:pPr>
        <w:numPr>
          <w:ilvl w:val="0"/>
          <w:numId w:val="0"/>
        </w:numPr>
        <w:rPr>
          <w:rFonts w:hint="eastAsia"/>
          <w:b w:val="0"/>
          <w:bCs w:val="0"/>
          <w:sz w:val="24"/>
          <w:szCs w:val="24"/>
          <w:lang w:val="en-US" w:eastAsia="zh-CN"/>
        </w:rPr>
      </w:pPr>
      <w:r>
        <w:rPr>
          <w:rFonts w:hint="eastAsia"/>
          <w:b w:val="0"/>
          <w:bCs w:val="0"/>
          <w:sz w:val="24"/>
          <w:szCs w:val="24"/>
          <w:lang w:val="en-US" w:eastAsia="zh-CN"/>
        </w:rPr>
        <w:t>（3）HS-HPC 及 UHPC 因其内部结构密实，孔结构更加合理，通常具有更好的耐久性，为满足抗硫酸盐腐蚀性，宜掺加优质的掺合料，或选择低 C3A 含量（＜8％）的水泥。</w:t>
      </w:r>
    </w:p>
    <w:p>
      <w:pPr>
        <w:numPr>
          <w:ilvl w:val="0"/>
          <w:numId w:val="0"/>
        </w:numPr>
        <w:rPr>
          <w:rFonts w:hint="eastAsia"/>
          <w:b w:val="0"/>
          <w:bCs w:val="0"/>
          <w:sz w:val="24"/>
          <w:szCs w:val="24"/>
          <w:lang w:val="en-US" w:eastAsia="zh-CN"/>
        </w:rPr>
      </w:pPr>
      <w:r>
        <w:rPr>
          <w:rFonts w:hint="eastAsia"/>
          <w:b w:val="0"/>
          <w:bCs w:val="0"/>
          <w:sz w:val="24"/>
          <w:szCs w:val="24"/>
          <w:lang w:val="en-US" w:eastAsia="zh-CN"/>
        </w:rPr>
        <w:t>（4）自收缩及其控制</w:t>
      </w:r>
    </w:p>
    <w:p>
      <w:pPr>
        <w:numPr>
          <w:ilvl w:val="0"/>
          <w:numId w:val="0"/>
        </w:numPr>
        <w:rPr>
          <w:rFonts w:hint="eastAsia"/>
          <w:b w:val="0"/>
          <w:bCs w:val="0"/>
          <w:sz w:val="24"/>
          <w:szCs w:val="24"/>
          <w:lang w:val="en-US" w:eastAsia="zh-CN"/>
        </w:rPr>
      </w:pPr>
      <w:r>
        <w:rPr>
          <w:rFonts w:hint="eastAsia"/>
          <w:b w:val="0"/>
          <w:bCs w:val="0"/>
          <w:sz w:val="24"/>
          <w:szCs w:val="24"/>
          <w:lang w:val="en-US" w:eastAsia="zh-CN"/>
        </w:rPr>
        <w:t>1）自收缩与对策</w:t>
      </w:r>
    </w:p>
    <w:p>
      <w:pPr>
        <w:numPr>
          <w:ilvl w:val="0"/>
          <w:numId w:val="0"/>
        </w:numPr>
        <w:rPr>
          <w:rFonts w:hint="eastAsia"/>
          <w:b w:val="0"/>
          <w:bCs w:val="0"/>
          <w:sz w:val="24"/>
          <w:szCs w:val="24"/>
          <w:lang w:val="en-US" w:eastAsia="zh-CN"/>
        </w:rPr>
      </w:pPr>
      <w:r>
        <w:rPr>
          <w:rFonts w:hint="eastAsia"/>
          <w:b w:val="0"/>
          <w:bCs w:val="0"/>
          <w:sz w:val="24"/>
          <w:szCs w:val="24"/>
          <w:lang w:val="en-US" w:eastAsia="zh-CN"/>
        </w:rPr>
        <w:t>当 HS-HPC 浇筑成型并处于绝湿条件下，由于水泥继续水化，消耗毛细管中的水分，使毛细</w:t>
      </w:r>
    </w:p>
    <w:p>
      <w:pPr>
        <w:numPr>
          <w:ilvl w:val="0"/>
          <w:numId w:val="0"/>
        </w:numPr>
        <w:rPr>
          <w:rFonts w:hint="eastAsia"/>
          <w:b w:val="0"/>
          <w:bCs w:val="0"/>
          <w:sz w:val="24"/>
          <w:szCs w:val="24"/>
          <w:lang w:val="en-US" w:eastAsia="zh-CN"/>
        </w:rPr>
      </w:pPr>
      <w:r>
        <w:rPr>
          <w:rFonts w:hint="eastAsia"/>
          <w:b w:val="0"/>
          <w:bCs w:val="0"/>
          <w:sz w:val="24"/>
          <w:szCs w:val="24"/>
          <w:lang w:val="en-US" w:eastAsia="zh-CN"/>
        </w:rPr>
        <w:t>管失水，产生毛细管张力（负压），引起混凝土收缩，称之自收缩。通常水胶比越低，胶凝材料用量越大，自收缩会越严重。</w:t>
      </w:r>
    </w:p>
    <w:p>
      <w:pPr>
        <w:numPr>
          <w:ilvl w:val="0"/>
          <w:numId w:val="0"/>
        </w:numPr>
        <w:rPr>
          <w:rFonts w:hint="eastAsia"/>
          <w:b w:val="0"/>
          <w:bCs w:val="0"/>
          <w:sz w:val="24"/>
          <w:szCs w:val="24"/>
          <w:lang w:val="en-US" w:eastAsia="zh-CN"/>
        </w:rPr>
      </w:pPr>
      <w:r>
        <w:rPr>
          <w:rFonts w:hint="eastAsia"/>
          <w:b w:val="0"/>
          <w:bCs w:val="0"/>
          <w:sz w:val="24"/>
          <w:szCs w:val="24"/>
          <w:lang w:val="en-US" w:eastAsia="zh-CN"/>
        </w:rPr>
        <w:t>对于 HS-HPC 一般应控制粗细骨料的总量不宜过低，胶凝材料的总量不宜过高；通过掺加钢</w:t>
      </w:r>
    </w:p>
    <w:p>
      <w:pPr>
        <w:numPr>
          <w:ilvl w:val="0"/>
          <w:numId w:val="0"/>
        </w:numPr>
        <w:rPr>
          <w:rFonts w:hint="eastAsia"/>
          <w:b w:val="0"/>
          <w:bCs w:val="0"/>
          <w:sz w:val="24"/>
          <w:szCs w:val="24"/>
          <w:lang w:val="en-US" w:eastAsia="zh-CN"/>
        </w:rPr>
      </w:pPr>
      <w:r>
        <w:rPr>
          <w:rFonts w:hint="eastAsia"/>
          <w:b w:val="0"/>
          <w:bCs w:val="0"/>
          <w:sz w:val="24"/>
          <w:szCs w:val="24"/>
          <w:lang w:val="en-US" w:eastAsia="zh-CN"/>
        </w:rPr>
        <w:t>纤维可以补偿其韧性损失，但在氯盐环境中，钢纤维不太适用；采用外掺 5％饱水超细沸石粉的方法，或者内掺吸水树脂类养护剂、外覆盖养护膜以及其他充分的养护措施等，可以有效的控制HS-HPC 的自收缩。</w:t>
      </w:r>
    </w:p>
    <w:p>
      <w:pPr>
        <w:numPr>
          <w:ilvl w:val="0"/>
          <w:numId w:val="0"/>
        </w:numPr>
        <w:rPr>
          <w:rFonts w:hint="eastAsia"/>
          <w:b w:val="0"/>
          <w:bCs w:val="0"/>
          <w:sz w:val="24"/>
          <w:szCs w:val="24"/>
          <w:lang w:val="en-US" w:eastAsia="zh-CN"/>
        </w:rPr>
      </w:pPr>
      <w:r>
        <w:rPr>
          <w:rFonts w:hint="eastAsia"/>
          <w:b w:val="0"/>
          <w:bCs w:val="0"/>
          <w:sz w:val="24"/>
          <w:szCs w:val="24"/>
          <w:lang w:val="en-US" w:eastAsia="zh-CN"/>
        </w:rPr>
        <w:t>UHPC 一般通过掺加钢纤维等控制收缩，提高韧性；胶凝材料的总量不宜过高。</w:t>
      </w:r>
    </w:p>
    <w:p>
      <w:pPr>
        <w:numPr>
          <w:ilvl w:val="0"/>
          <w:numId w:val="0"/>
        </w:numPr>
        <w:rPr>
          <w:rFonts w:hint="eastAsia"/>
          <w:b w:val="0"/>
          <w:bCs w:val="0"/>
          <w:sz w:val="24"/>
          <w:szCs w:val="24"/>
          <w:lang w:val="en-US" w:eastAsia="zh-CN"/>
        </w:rPr>
      </w:pPr>
      <w:r>
        <w:rPr>
          <w:rFonts w:hint="eastAsia"/>
          <w:b w:val="0"/>
          <w:bCs w:val="0"/>
          <w:sz w:val="24"/>
          <w:szCs w:val="24"/>
          <w:lang w:val="en-US" w:eastAsia="zh-CN"/>
        </w:rPr>
        <w:t>2）收缩的测定方法</w:t>
      </w:r>
    </w:p>
    <w:p>
      <w:pPr>
        <w:numPr>
          <w:ilvl w:val="0"/>
          <w:numId w:val="0"/>
        </w:numPr>
        <w:rPr>
          <w:rFonts w:hint="eastAsia"/>
          <w:b w:val="0"/>
          <w:bCs w:val="0"/>
          <w:sz w:val="24"/>
          <w:szCs w:val="24"/>
          <w:lang w:val="en-US" w:eastAsia="zh-CN"/>
        </w:rPr>
      </w:pPr>
      <w:r>
        <w:rPr>
          <w:rFonts w:hint="eastAsia"/>
          <w:b w:val="0"/>
          <w:bCs w:val="0"/>
          <w:sz w:val="24"/>
          <w:szCs w:val="24"/>
          <w:lang w:val="en-US" w:eastAsia="zh-CN"/>
        </w:rPr>
        <w:t>参照《普通混凝土长期性能和耐久性能试验方法标准》GB/T50082 进行。</w:t>
      </w:r>
    </w:p>
    <w:p>
      <w:pPr>
        <w:numPr>
          <w:ilvl w:val="0"/>
          <w:numId w:val="0"/>
        </w:numPr>
        <w:ind w:leftChars="0"/>
        <w:rPr>
          <w:rFonts w:hint="eastAsia"/>
          <w:b/>
          <w:bCs/>
          <w:sz w:val="24"/>
          <w:szCs w:val="24"/>
          <w:lang w:val="en-US" w:eastAsia="zh-CN"/>
        </w:rPr>
      </w:pPr>
      <w:r>
        <w:rPr>
          <w:rFonts w:hint="eastAsia"/>
          <w:b/>
          <w:bCs/>
          <w:sz w:val="24"/>
          <w:szCs w:val="24"/>
          <w:lang w:val="en-US" w:eastAsia="zh-CN"/>
        </w:rPr>
        <w:t>2.3自密实混凝土技术指标</w:t>
      </w:r>
    </w:p>
    <w:p>
      <w:pPr>
        <w:numPr>
          <w:ilvl w:val="0"/>
          <w:numId w:val="0"/>
        </w:numPr>
        <w:ind w:leftChars="0"/>
        <w:rPr>
          <w:rFonts w:hint="eastAsia"/>
          <w:b w:val="0"/>
          <w:bCs w:val="0"/>
          <w:sz w:val="24"/>
          <w:szCs w:val="24"/>
          <w:lang w:val="en-US" w:eastAsia="zh-CN"/>
        </w:rPr>
      </w:pPr>
      <w:r>
        <w:rPr>
          <w:rFonts w:hint="eastAsia"/>
          <w:b/>
          <w:bCs/>
          <w:sz w:val="24"/>
          <w:szCs w:val="24"/>
          <w:lang w:val="en-US" w:eastAsia="zh-CN"/>
        </w:rPr>
        <w:t>（1）原材料的技术要求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1）胶凝材料</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水泥选用较稳定的硅酸盐水泥或普通硅酸盐水泥；掺合料是自密实混凝土不可缺少的组分之</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一。一般常用的掺合料有粉煤灰、磨细矿渣、硅灰、粒化高炉矿渣粉、石灰石粉等，也可掺入复合掺合料，复合掺合料宜满足《混凝土用复合掺合料》JG/T486 中易流型或普通型Ⅰ级的要求。胶凝材料总量宜控制在 400 kg/m3 ~550kg/m3。</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2）细骨料</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细骨料质量控制应符合《普通混凝土用砂、石质量及检验方法标准》JGJ52 以及《混凝土质量控制标准》GB50164 的要求。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3）粗骨料</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粗骨料宜采用连续级配或 2 个及以上单粒级配搭配使用，粗骨料的最大粒径一般以小于 20mm为宜，尽可能选用圆形且不含或少含针、片状颗粒的骨料；对于配筋密集的竖向构件、复杂形状的结构以及有特殊要求的工程，粗骨料的最大公称粒径不宜大于 16mm。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4）外加剂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自密实混凝土具备的高流动性、抗离析性、间隙通过性和填充性这四个方面都需要以外加剂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为主的手段来实现。减水剂宜优先采用高性能减水剂。对减水剂的主要要求为：与水泥的相容性好，减水率大，并具有缓凝、保塑的特性。</w:t>
      </w:r>
    </w:p>
    <w:p>
      <w:pPr>
        <w:numPr>
          <w:ilvl w:val="0"/>
          <w:numId w:val="0"/>
        </w:numPr>
        <w:ind w:leftChars="0"/>
        <w:rPr>
          <w:rFonts w:hint="eastAsia"/>
          <w:b w:val="0"/>
          <w:bCs w:val="0"/>
          <w:sz w:val="24"/>
          <w:szCs w:val="24"/>
          <w:lang w:val="en-US" w:eastAsia="zh-CN"/>
        </w:rPr>
      </w:pPr>
      <w:r>
        <w:rPr>
          <w:rFonts w:hint="eastAsia"/>
          <w:b/>
          <w:bCs/>
          <w:sz w:val="24"/>
          <w:szCs w:val="24"/>
          <w:lang w:val="en-US" w:eastAsia="zh-CN"/>
        </w:rPr>
        <w:t>（2）自密实性能主要技术指标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对于泵送浇筑施工的工程，应根据构件形状与尺寸、构件的配筋等情况确定混凝土坍落扩展</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度。对于从顶部浇筑的无配筋或配筋较少的混凝土结构物（如平板）以及无需水平长距离流动的竖向结构物（如承台和一些深基础），混凝土坍落扩展度应满足 550~655mm；对于一般的普通钢筋混凝土结构以及混凝土结构坍落扩展度应满足 660 ~755mm；对于结构截面较小的竖向构件、形状复杂的结构等，混凝土坍落扩展度应满足 760m~850mm；对于配筋密集的结构或有较高混凝土外观性能要求的结构，扩展时间 T500（s）应不大于 2s。其他技术指标应满足《自密实混凝土应用技术规程》JGJ/T 283 的要求。</w:t>
      </w:r>
    </w:p>
    <w:p>
      <w:pPr>
        <w:numPr>
          <w:numId w:val="0"/>
        </w:numPr>
        <w:ind w:leftChars="0"/>
        <w:rPr>
          <w:rFonts w:hint="eastAsia"/>
          <w:b w:val="0"/>
          <w:bCs w:val="0"/>
          <w:sz w:val="24"/>
          <w:szCs w:val="24"/>
          <w:lang w:val="en-US" w:eastAsia="zh-CN"/>
        </w:rPr>
      </w:pPr>
      <w:r>
        <w:rPr>
          <w:rFonts w:hint="eastAsia"/>
          <w:b/>
          <w:bCs/>
          <w:sz w:val="24"/>
          <w:szCs w:val="24"/>
          <w:lang w:val="en-US" w:eastAsia="zh-CN"/>
        </w:rPr>
        <w:t>2.4再生骨料混凝土技术指标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（1）再生骨料混凝土的拌合物性能、力学性能、长期性能和耐久性能、强度检验评定及耐久性检验评定等，应符合现行国家标准《混凝土质量控制标准》GB 50164 的规定。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（2）再生骨料普通混凝土进行设计取值时，可参照以下要求进行：</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1）再生骨料混凝土的轴心抗压强度标准值、轴心抗压强度设计值、轴心抗拉强度标准值、轴心抗拉强度设计值、剪切变形模量和泊松比均可按现行国家标准《混凝土结构设计规范》GB 50010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的规定取值。</w:t>
      </w:r>
    </w:p>
    <w:p>
      <w:pPr>
        <w:numPr>
          <w:ilvl w:val="0"/>
          <w:numId w:val="1"/>
        </w:numPr>
        <w:ind w:leftChars="0"/>
        <w:rPr>
          <w:rFonts w:hint="eastAsia"/>
          <w:b w:val="0"/>
          <w:bCs w:val="0"/>
          <w:sz w:val="24"/>
          <w:szCs w:val="24"/>
          <w:lang w:val="en-US" w:eastAsia="zh-CN"/>
        </w:rPr>
      </w:pPr>
      <w:r>
        <w:rPr>
          <w:rFonts w:hint="eastAsia"/>
          <w:b w:val="0"/>
          <w:bCs w:val="0"/>
          <w:sz w:val="24"/>
          <w:szCs w:val="24"/>
          <w:lang w:val="en-US" w:eastAsia="zh-CN"/>
        </w:rPr>
        <w:t>仅掺用Ⅰ类再生粗骨料配制的混凝土，其受压和受拉弹性模量可按现行国家标准《混凝土结构设计规范》GB 50010 的规定取值；其他类别再生骨料配制的再生骨料混凝土，其弹性模量宜通过试验确定，在缺乏试验条件或技术资料时，可按表 2.1 的规定取值。</w:t>
      </w:r>
    </w:p>
    <w:p>
      <w:pPr>
        <w:numPr>
          <w:ilvl w:val="0"/>
          <w:numId w:val="0"/>
        </w:numPr>
        <w:ind w:firstLine="2951" w:firstLineChars="1400"/>
        <w:rPr>
          <w:rFonts w:hint="eastAsia"/>
          <w:b w:val="0"/>
          <w:bCs w:val="0"/>
          <w:sz w:val="24"/>
          <w:szCs w:val="24"/>
          <w:lang w:val="en-US" w:eastAsia="zh-CN"/>
        </w:rPr>
      </w:pPr>
      <w:r>
        <w:rPr>
          <w:rFonts w:hint="eastAsia"/>
          <w:b/>
          <w:bCs/>
          <w:sz w:val="21"/>
          <w:szCs w:val="21"/>
          <w:lang w:val="en-US" w:eastAsia="zh-CN"/>
        </w:rPr>
        <w:t>表 2.1 再生骨料普通混凝土弹性模量</w:t>
      </w:r>
    </w:p>
    <w:p>
      <w:pPr>
        <w:widowControl w:val="0"/>
        <w:numPr>
          <w:numId w:val="0"/>
        </w:numPr>
        <w:jc w:val="both"/>
        <w:rPr>
          <w:rFonts w:hint="eastAsia"/>
          <w:b w:val="0"/>
          <w:bCs w:val="0"/>
          <w:sz w:val="24"/>
          <w:szCs w:val="24"/>
          <w:lang w:val="en-US" w:eastAsia="zh-CN"/>
        </w:rPr>
      </w:pPr>
    </w:p>
    <w:p>
      <w:pPr>
        <w:widowControl w:val="0"/>
        <w:numPr>
          <w:numId w:val="0"/>
        </w:numPr>
        <w:jc w:val="both"/>
        <w:rPr>
          <w:rFonts w:hint="eastAsia"/>
          <w:b w:val="0"/>
          <w:bCs w:val="0"/>
          <w:sz w:val="24"/>
          <w:szCs w:val="24"/>
          <w:lang w:val="en-US" w:eastAsia="zh-CN"/>
        </w:rPr>
      </w:pPr>
    </w:p>
    <w:p>
      <w:pPr>
        <w:numPr>
          <w:numId w:val="0"/>
        </w:numPr>
        <w:rPr>
          <w:rFonts w:hint="eastAsia"/>
          <w:b w:val="0"/>
          <w:bCs w:val="0"/>
          <w:sz w:val="24"/>
          <w:szCs w:val="24"/>
          <w:lang w:val="en-US" w:eastAsia="zh-CN"/>
        </w:rPr>
      </w:pPr>
    </w:p>
    <w:p>
      <w:pPr>
        <w:numPr>
          <w:ilvl w:val="0"/>
          <w:numId w:val="0"/>
        </w:numPr>
        <w:ind w:leftChars="0"/>
        <w:rPr>
          <w:rFonts w:hint="eastAsia"/>
          <w:b w:val="0"/>
          <w:bCs w:val="0"/>
          <w:sz w:val="24"/>
          <w:szCs w:val="24"/>
          <w:lang w:val="en-US" w:eastAsia="zh-CN"/>
        </w:rPr>
      </w:pPr>
    </w:p>
    <w:tbl>
      <w:tblPr>
        <w:tblStyle w:val="6"/>
        <w:tblpPr w:leftFromText="180" w:rightFromText="180" w:vertAnchor="text" w:horzAnchor="page" w:tblpX="1543" w:tblpY="-957"/>
        <w:tblOverlap w:val="never"/>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996"/>
        <w:gridCol w:w="1032"/>
        <w:gridCol w:w="972"/>
        <w:gridCol w:w="1015"/>
        <w:gridCol w:w="1061"/>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959"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强度等级 </w:t>
            </w:r>
          </w:p>
        </w:tc>
        <w:tc>
          <w:tcPr>
            <w:tcW w:w="996"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C15</w:t>
            </w:r>
          </w:p>
        </w:tc>
        <w:tc>
          <w:tcPr>
            <w:tcW w:w="103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C20</w:t>
            </w:r>
          </w:p>
        </w:tc>
        <w:tc>
          <w:tcPr>
            <w:tcW w:w="97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C25 </w:t>
            </w:r>
          </w:p>
        </w:tc>
        <w:tc>
          <w:tcPr>
            <w:tcW w:w="101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C30</w:t>
            </w:r>
          </w:p>
        </w:tc>
        <w:tc>
          <w:tcPr>
            <w:tcW w:w="1061"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C35</w:t>
            </w:r>
          </w:p>
        </w:tc>
        <w:tc>
          <w:tcPr>
            <w:tcW w:w="1056"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C40</w:t>
            </w:r>
          </w:p>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弹性模量（×104 N/mm2）</w:t>
            </w:r>
          </w:p>
        </w:tc>
        <w:tc>
          <w:tcPr>
            <w:tcW w:w="99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1.83</w:t>
            </w:r>
          </w:p>
        </w:tc>
        <w:tc>
          <w:tcPr>
            <w:tcW w:w="103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2.08</w:t>
            </w:r>
          </w:p>
        </w:tc>
        <w:tc>
          <w:tcPr>
            <w:tcW w:w="9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2.27</w:t>
            </w:r>
          </w:p>
        </w:tc>
        <w:tc>
          <w:tcPr>
            <w:tcW w:w="1015"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2.42</w:t>
            </w:r>
          </w:p>
        </w:tc>
        <w:tc>
          <w:tcPr>
            <w:tcW w:w="1061"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2.53</w:t>
            </w:r>
          </w:p>
        </w:tc>
        <w:tc>
          <w:tcPr>
            <w:tcW w:w="10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2.63</w:t>
            </w:r>
          </w:p>
        </w:tc>
      </w:tr>
    </w:tbl>
    <w:p>
      <w:pPr>
        <w:numPr>
          <w:ilvl w:val="0"/>
          <w:numId w:val="0"/>
        </w:numPr>
        <w:rPr>
          <w:rFonts w:hint="eastAsia"/>
          <w:b w:val="0"/>
          <w:bCs w:val="0"/>
          <w:sz w:val="24"/>
          <w:szCs w:val="24"/>
          <w:lang w:val="en-US" w:eastAsia="zh-CN"/>
        </w:rPr>
      </w:pPr>
      <w:r>
        <w:rPr>
          <w:rFonts w:hint="eastAsia"/>
          <w:b w:val="0"/>
          <w:bCs w:val="0"/>
          <w:sz w:val="24"/>
          <w:szCs w:val="24"/>
          <w:lang w:val="en-US" w:eastAsia="zh-CN"/>
        </w:rPr>
        <w:t>3）再生骨料混凝土的温度线膨胀系数、比热容和导热系数宜通过试验确定。当缺乏试验条件或技术资料时，可按现行国家标准《混凝土结构设计规范》GB 50010 和《民用建筑热工设计规范》GB 50176 的规定取值。</w:t>
      </w:r>
    </w:p>
    <w:p>
      <w:pPr>
        <w:numPr>
          <w:ilvl w:val="0"/>
          <w:numId w:val="0"/>
        </w:numPr>
        <w:ind w:leftChars="0"/>
        <w:rPr>
          <w:rFonts w:hint="eastAsia"/>
          <w:b w:val="0"/>
          <w:bCs w:val="0"/>
          <w:sz w:val="24"/>
          <w:szCs w:val="24"/>
          <w:lang w:val="en-US" w:eastAsia="zh-CN"/>
        </w:rPr>
      </w:pPr>
      <w:r>
        <w:rPr>
          <w:rFonts w:hint="eastAsia"/>
          <w:b/>
          <w:bCs/>
          <w:sz w:val="24"/>
          <w:szCs w:val="24"/>
          <w:lang w:val="en-US" w:eastAsia="zh-CN"/>
        </w:rPr>
        <w:t>2.5混凝土裂缝控制技术指标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混凝土的工作性、强度、耐久性等应满足设计要求，关于混凝土抗裂性能的检测评价方法主要方法如下：</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（1）圆环抗裂试验，见《混凝土结构耐久性设计与施工指南》CCES01 附录 A1；</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（2）平板诱导试验，见《普通混凝土长期性能和耐久性能试验方法标准》GB/T50082；</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（3）混凝土收缩试验，见《普通混凝土长期性能和耐久性能试验方法标准》GB/T50082。</w:t>
      </w:r>
    </w:p>
    <w:p>
      <w:pPr>
        <w:numPr>
          <w:ilvl w:val="0"/>
          <w:numId w:val="0"/>
        </w:numPr>
        <w:ind w:leftChars="0"/>
        <w:rPr>
          <w:rFonts w:hint="eastAsia"/>
          <w:b w:val="0"/>
          <w:bCs w:val="0"/>
          <w:sz w:val="24"/>
          <w:szCs w:val="24"/>
          <w:lang w:val="en-US" w:eastAsia="zh-CN"/>
        </w:rPr>
      </w:pPr>
      <w:r>
        <w:rPr>
          <w:rFonts w:hint="eastAsia"/>
          <w:b/>
          <w:bCs/>
          <w:sz w:val="24"/>
          <w:szCs w:val="24"/>
          <w:lang w:val="en-US" w:eastAsia="zh-CN"/>
        </w:rPr>
        <w:t>2.6超高泵送混凝土技术指标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（1）混凝土拌合物的工作性良好，无离析泌水，坍落度宜大于 180mm，混凝土坍落度损失不应影响混凝土的正常施工，经时损失不宜大于 30mm/h，混凝土倒置坍落筒排空时间宜小于 10s。泵送高度超过 300m 的，扩展度宜大于 550mm；泵送高度超过 400m 的，扩展度宜大于 600mm；泵送高度超过 500m 的，扩展度宜大于 650mm；泵送高度超过 600m 的，扩展度宜大于 700mm。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（2）硬化混凝土物理力学性能符合设计要求。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（3）混凝土的输送排量、输送压力和泵管的布设要依据准确的计算，并制定详细的实施方案，进行模拟高程泵送试验。</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（4）其他技术指标应符合《混凝土泵送施工技术规程》JGJ/T 10 和《混凝土结构工程施工规范》GB50666 的规定。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2.7高强钢筋应用技术指标</w:t>
      </w:r>
    </w:p>
    <w:p>
      <w:pPr>
        <w:numPr>
          <w:ilvl w:val="0"/>
          <w:numId w:val="0"/>
        </w:numPr>
        <w:ind w:leftChars="0"/>
        <w:rPr>
          <w:rFonts w:hint="eastAsia"/>
          <w:b/>
          <w:bCs/>
          <w:sz w:val="24"/>
          <w:szCs w:val="24"/>
          <w:lang w:val="en-US" w:eastAsia="zh-CN"/>
        </w:rPr>
      </w:pPr>
      <w:r>
        <w:rPr>
          <w:rFonts w:hint="eastAsia"/>
          <w:b/>
          <w:bCs/>
          <w:sz w:val="24"/>
          <w:szCs w:val="24"/>
          <w:lang w:val="en-US" w:eastAsia="zh-CN"/>
        </w:rPr>
        <w:t>2.7.1</w:t>
      </w:r>
      <w:r>
        <w:rPr>
          <w:rFonts w:hint="eastAsia"/>
          <w:b w:val="0"/>
          <w:bCs w:val="0"/>
          <w:sz w:val="24"/>
          <w:szCs w:val="24"/>
          <w:lang w:val="en-US" w:eastAsia="zh-CN"/>
        </w:rPr>
        <w:t xml:space="preserve"> </w:t>
      </w:r>
      <w:r>
        <w:rPr>
          <w:rFonts w:hint="eastAsia"/>
          <w:b/>
          <w:bCs/>
          <w:sz w:val="24"/>
          <w:szCs w:val="24"/>
          <w:lang w:val="en-US" w:eastAsia="zh-CN"/>
        </w:rPr>
        <w:t>热轧高强钢筋应用技术指标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400MPa 和 500MPa 级高强钢筋的技术指标应符合国家标准 GB1499.2 的规定， 钢筋设计强度及施工应用指标应符合《混凝土结构设计规范》GB50010、《混凝土结构工程施工质量验收规范》GB50204、《混凝土结构工程施工规范》GB50666 及其他相关标准。</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按《混凝土结构设计规范》GB50010 规定，400MPa 和 500MPa 级高强钢筋的直径为 6~50mm；400MPa 级钢筋的屈服强度标准值为 400 N/mm2，抗拉强度标准值为 540 N/mm2，抗拉与抗压强度设计值为 360 N/mm2；500MPa 级钢筋的屈服强度标准值为 500 N/mm2，抗拉强度标准值为 630N/mm2；抗拉与抗压强度设计值为 435N/mm2。</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对有抗震设防要求结构，并用于按一、二、三级抗震等级设计的框架和斜撑构件，其纵向受力普通钢筋对强屈比、屈服强度超强比与钢筋的延性有更进一步的要求，规范规定应满足下列要求：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钢筋的抗拉强度实测值与屈服强度实测值的比值不应小于 1.25；</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钢筋的屈服强度实测值与屈服强度标准值的比值不应大于 1.30；</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钢筋最大拉力下的总伸长率实测值不应小于 9%。</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为保证钢筋材料符合抗震性能指标，建议采用带后缀“E”的热轧带肋钢筋。</w:t>
      </w:r>
    </w:p>
    <w:p>
      <w:pPr>
        <w:numPr>
          <w:ilvl w:val="0"/>
          <w:numId w:val="0"/>
        </w:numPr>
        <w:ind w:leftChars="0"/>
        <w:rPr>
          <w:rFonts w:hint="eastAsia"/>
          <w:b w:val="0"/>
          <w:bCs w:val="0"/>
          <w:sz w:val="24"/>
          <w:szCs w:val="24"/>
          <w:lang w:val="en-US" w:eastAsia="zh-CN"/>
        </w:rPr>
      </w:pPr>
      <w:r>
        <w:rPr>
          <w:rFonts w:hint="eastAsia"/>
          <w:b/>
          <w:bCs/>
          <w:sz w:val="24"/>
          <w:szCs w:val="24"/>
          <w:lang w:val="en-US" w:eastAsia="zh-CN"/>
        </w:rPr>
        <w:t>2.7.2高强冷轧带肋钢筋应用技术指标</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CRB600H高强钢筋的技术指标应符合现行行业标准《高延性冷轧带肋钢筋》YB/T 4260和国标《冷轧带肋钢筋》GB 13788的规定，设计、施工及验收应符合现行行业标准《冷轧带肋钢筋混凝土结构技术规程》JGJ95-2011的规定。中国工程建设协会标准《CRB600H钢筋应用技术规程》、《高强钢筋应用技术导则》及河南、河北、山东等地的地方标准已完成编制。</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CRB600H高强钢筋的直径范围为5~12mm，抗拉强度标准值为600N/mm2，屈服强度标准值为520N/mm2，断后伸长率14%，最大力均匀伸长率5%，强度设计值为415N/mm2（比HRB400钢筋的360N/mm2提高15%）。</w:t>
      </w:r>
    </w:p>
    <w:p>
      <w:pPr>
        <w:numPr>
          <w:numId w:val="0"/>
        </w:numPr>
        <w:rPr>
          <w:rFonts w:hint="eastAsia"/>
          <w:b w:val="0"/>
          <w:bCs w:val="0"/>
          <w:sz w:val="24"/>
          <w:szCs w:val="24"/>
          <w:lang w:val="en-US" w:eastAsia="zh-CN"/>
        </w:rPr>
      </w:pPr>
      <w:r>
        <w:rPr>
          <w:rFonts w:hint="eastAsia"/>
          <w:b/>
          <w:bCs/>
          <w:sz w:val="24"/>
          <w:szCs w:val="24"/>
          <w:lang w:val="en-US" w:eastAsia="zh-CN"/>
        </w:rPr>
        <w:t>2.8高强钢筋直螺纹连接技术指标</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高强钢筋直螺纹连接接头的技术性能指标应符合行业标准《钢筋机械连接技术规程》JGJ107和《钢筋机械连接用套筒》JG/T163 的规定。其主要技术指标如下。</w:t>
      </w:r>
    </w:p>
    <w:p>
      <w:pPr>
        <w:numPr>
          <w:ilvl w:val="0"/>
          <w:numId w:val="0"/>
        </w:numPr>
        <w:rPr>
          <w:rFonts w:hint="eastAsia"/>
          <w:b w:val="0"/>
          <w:bCs w:val="0"/>
          <w:sz w:val="24"/>
          <w:szCs w:val="24"/>
          <w:lang w:val="en-US" w:eastAsia="zh-CN"/>
        </w:rPr>
      </w:pPr>
      <w:r>
        <w:rPr>
          <w:rFonts w:hint="eastAsia"/>
          <w:b w:val="0"/>
          <w:bCs w:val="0"/>
          <w:sz w:val="24"/>
          <w:szCs w:val="24"/>
          <w:lang w:val="en-US" w:eastAsia="zh-CN"/>
        </w:rPr>
        <w:t>（1）接头设计应满足强度及变形性能的要求。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（2）接头性能应包括单向拉伸、高应力反复拉压、大变形反复拉压和疲劳性能；应根据接头的性能等级和应用场合选择相应的检验项目。</w:t>
      </w:r>
    </w:p>
    <w:p>
      <w:pPr>
        <w:numPr>
          <w:ilvl w:val="0"/>
          <w:numId w:val="0"/>
        </w:numPr>
        <w:rPr>
          <w:rFonts w:hint="eastAsia"/>
          <w:b w:val="0"/>
          <w:bCs w:val="0"/>
          <w:sz w:val="24"/>
          <w:szCs w:val="24"/>
          <w:lang w:val="en-US" w:eastAsia="zh-CN"/>
        </w:rPr>
      </w:pPr>
      <w:r>
        <w:rPr>
          <w:rFonts w:hint="eastAsia"/>
          <w:b w:val="0"/>
          <w:bCs w:val="0"/>
          <w:sz w:val="24"/>
          <w:szCs w:val="24"/>
          <w:lang w:val="en-US" w:eastAsia="zh-CN"/>
        </w:rPr>
        <w:t>（3）接头应根据极限抗拉强度、残余变形、最大力下总伸长率以及高应力和大变形条件 下</w:t>
      </w:r>
    </w:p>
    <w:p>
      <w:pPr>
        <w:numPr>
          <w:ilvl w:val="0"/>
          <w:numId w:val="0"/>
        </w:numPr>
        <w:rPr>
          <w:rFonts w:hint="eastAsia"/>
          <w:b w:val="0"/>
          <w:bCs w:val="0"/>
          <w:sz w:val="24"/>
          <w:szCs w:val="24"/>
          <w:lang w:val="en-US" w:eastAsia="zh-CN"/>
        </w:rPr>
      </w:pPr>
      <w:r>
        <w:rPr>
          <w:rFonts w:hint="eastAsia"/>
          <w:b w:val="0"/>
          <w:bCs w:val="0"/>
          <w:sz w:val="24"/>
          <w:szCs w:val="24"/>
          <w:lang w:val="en-US" w:eastAsia="zh-CN"/>
        </w:rPr>
        <w:t>反复拉压性能，分为Ⅰ级、Ⅱ级、Ⅲ级三个等级，其性能应分别符合行业标准《钢筋机械连接技术规程》JGJ107 的规定。</w:t>
      </w:r>
    </w:p>
    <w:p>
      <w:pPr>
        <w:numPr>
          <w:ilvl w:val="0"/>
          <w:numId w:val="0"/>
        </w:numPr>
        <w:rPr>
          <w:rFonts w:hint="eastAsia"/>
          <w:b w:val="0"/>
          <w:bCs w:val="0"/>
          <w:sz w:val="24"/>
          <w:szCs w:val="24"/>
          <w:lang w:val="en-US" w:eastAsia="zh-CN"/>
        </w:rPr>
      </w:pPr>
      <w:r>
        <w:rPr>
          <w:rFonts w:hint="eastAsia"/>
          <w:b w:val="0"/>
          <w:bCs w:val="0"/>
          <w:sz w:val="24"/>
          <w:szCs w:val="24"/>
          <w:lang w:val="en-US" w:eastAsia="zh-CN"/>
        </w:rPr>
        <w:t>（4）对直接承受重复荷载的结构构件，设计应根据钢筋应力幅提出接头的抗疲劳性能要求。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当设计无专门要求时，剥肋滚轧直螺纹钢筋接头、镦粗直螺纹钢筋接头和带肋钢筋套筒挤压接头的疲劳应力幅限值不应小于现行国家标准《混凝土结构设计规范》GB 50010 中普通钢筋疲劳应力幅限值的 80%。</w:t>
      </w:r>
    </w:p>
    <w:p>
      <w:pPr>
        <w:numPr>
          <w:ilvl w:val="0"/>
          <w:numId w:val="0"/>
        </w:numPr>
        <w:rPr>
          <w:rFonts w:hint="eastAsia"/>
          <w:b w:val="0"/>
          <w:bCs w:val="0"/>
          <w:sz w:val="24"/>
          <w:szCs w:val="24"/>
          <w:lang w:val="en-US" w:eastAsia="zh-CN"/>
        </w:rPr>
      </w:pPr>
      <w:r>
        <w:rPr>
          <w:rFonts w:hint="eastAsia"/>
          <w:b w:val="0"/>
          <w:bCs w:val="0"/>
          <w:sz w:val="24"/>
          <w:szCs w:val="24"/>
          <w:lang w:val="en-US" w:eastAsia="zh-CN"/>
        </w:rPr>
        <w:t>（5）套筒实测受拉承载力不应小于被连接钢筋受拉承载力标准值的 1.1 倍。套筒用于有疲劳性能要求的钢筋接头时，其抗疲劳性能应符合 JGJ 107 的规定。</w:t>
      </w:r>
    </w:p>
    <w:p>
      <w:pPr>
        <w:numPr>
          <w:ilvl w:val="0"/>
          <w:numId w:val="0"/>
        </w:numPr>
        <w:rPr>
          <w:rFonts w:hint="eastAsia"/>
          <w:b w:val="0"/>
          <w:bCs w:val="0"/>
          <w:sz w:val="24"/>
          <w:szCs w:val="24"/>
          <w:lang w:val="en-US" w:eastAsia="zh-CN"/>
        </w:rPr>
      </w:pPr>
      <w:r>
        <w:rPr>
          <w:rFonts w:hint="eastAsia"/>
          <w:b w:val="0"/>
          <w:bCs w:val="0"/>
          <w:sz w:val="24"/>
          <w:szCs w:val="24"/>
          <w:lang w:val="en-US" w:eastAsia="zh-CN"/>
        </w:rPr>
        <w:t>（6）套筒原材料宜采用牌号为 45 号的圆钢、结构用无缝钢管，其外观及力学性能应符合现行国家标准《优质碳素结构钢》GB/T 699、《用于机械和一般工程用途的无缝钢管》GB/T 8162、</w:t>
      </w:r>
    </w:p>
    <w:p>
      <w:pPr>
        <w:numPr>
          <w:ilvl w:val="0"/>
          <w:numId w:val="0"/>
        </w:numPr>
        <w:rPr>
          <w:rFonts w:hint="eastAsia"/>
          <w:b w:val="0"/>
          <w:bCs w:val="0"/>
          <w:sz w:val="24"/>
          <w:szCs w:val="24"/>
          <w:lang w:val="en-US" w:eastAsia="zh-CN"/>
        </w:rPr>
      </w:pPr>
      <w:r>
        <w:rPr>
          <w:rFonts w:hint="eastAsia"/>
          <w:b w:val="0"/>
          <w:bCs w:val="0"/>
          <w:sz w:val="24"/>
          <w:szCs w:val="24"/>
          <w:lang w:val="en-US" w:eastAsia="zh-CN"/>
        </w:rPr>
        <w:t>《无缝钢管尺寸、外形、重量及允许偏差》GB/T 17395 的规定。</w:t>
      </w:r>
    </w:p>
    <w:p>
      <w:pPr>
        <w:numPr>
          <w:ilvl w:val="0"/>
          <w:numId w:val="0"/>
        </w:numPr>
        <w:rPr>
          <w:rFonts w:hint="eastAsia"/>
          <w:b w:val="0"/>
          <w:bCs w:val="0"/>
          <w:sz w:val="24"/>
          <w:szCs w:val="24"/>
          <w:lang w:val="en-US" w:eastAsia="zh-CN"/>
        </w:rPr>
      </w:pPr>
      <w:r>
        <w:rPr>
          <w:rFonts w:hint="eastAsia"/>
          <w:b w:val="0"/>
          <w:bCs w:val="0"/>
          <w:sz w:val="24"/>
          <w:szCs w:val="24"/>
          <w:lang w:val="en-US" w:eastAsia="zh-CN"/>
        </w:rPr>
        <w:t>（7）套筒原材料采用 45 号钢冷拔或冷轧精密无缝钢管时，应进行退火处理，并应符合现行国家标准《冷拔或冷轧精密无缝钢管》GB/T 3639 的相关规定，其抗拉强度不应大于 800MPa，断后伸长率δ5 不宜小于 14%。冷拔或冷轧精密无缝钢管的原材料应采用牌号为 45 号管坯钢，并符合行业标准《优质碳素结构钢热轧和锻制圆管坯》YB/T 5222 的规定。</w:t>
      </w:r>
    </w:p>
    <w:p>
      <w:pPr>
        <w:numPr>
          <w:ilvl w:val="0"/>
          <w:numId w:val="0"/>
        </w:numPr>
        <w:rPr>
          <w:rFonts w:hint="eastAsia"/>
          <w:b w:val="0"/>
          <w:bCs w:val="0"/>
          <w:sz w:val="24"/>
          <w:szCs w:val="24"/>
          <w:lang w:val="en-US" w:eastAsia="zh-CN"/>
        </w:rPr>
      </w:pPr>
      <w:r>
        <w:rPr>
          <w:rFonts w:hint="eastAsia"/>
          <w:b w:val="0"/>
          <w:bCs w:val="0"/>
          <w:sz w:val="24"/>
          <w:szCs w:val="24"/>
          <w:lang w:val="en-US" w:eastAsia="zh-CN"/>
        </w:rPr>
        <w:t>（8）采用各类冷加工工艺成型的套筒，宜进行退火处理，且不得利用冷加工提高的强度。需要与型钢等钢材焊接的套筒，其原材料应满足可焊性的要求。</w:t>
      </w:r>
    </w:p>
    <w:p>
      <w:pPr>
        <w:numPr>
          <w:ilvl w:val="0"/>
          <w:numId w:val="0"/>
        </w:numPr>
        <w:rPr>
          <w:rFonts w:hint="eastAsia"/>
          <w:b w:val="0"/>
          <w:bCs w:val="0"/>
          <w:sz w:val="24"/>
          <w:szCs w:val="24"/>
          <w:lang w:val="en-US" w:eastAsia="zh-CN"/>
        </w:rPr>
      </w:pPr>
      <w:r>
        <w:rPr>
          <w:rFonts w:hint="eastAsia"/>
          <w:b/>
          <w:bCs/>
          <w:sz w:val="24"/>
          <w:szCs w:val="24"/>
          <w:lang w:val="en-US" w:eastAsia="zh-CN"/>
        </w:rPr>
        <w:t>2.9钢筋焊接网应用技术指标</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钢筋焊接网技术指标应符合国家标准《钢筋混凝土用钢筋焊接网》GB/T1499.3 和行业标准《钢筋焊接网混凝土结构技术规程》JGJ114 的规定。冷轧带肋钢筋的直径宜采用 5~12mm，CRB550 、CRB600H 的强度标准值分别为 500N/mm2、520N/mm2，强度设计值分别为 400N/mm2、415N/mm2；热轧钢筋的直径宜为 6~18mm，HRB400、HRB500 屈服强度标准值分别为 400 N/mm2、500N/mm2，强度设计值分别为 360N/mm2、435N/mm2。焊接网制作方向的钢筋间距宜为 100、150、200mm，也可采用 125mm 或 175mm；与制作方向垂直的钢筋间距宜为 100~400mm， 且宜为 10mm 的整倍数，焊接网的最大长度不宜超过 12m， 最大宽度不宜超过 3.3m。焊点抗剪力不应小于试件受拉钢筋规定屈服力值的 0.3 倍。</w:t>
      </w:r>
    </w:p>
    <w:p>
      <w:pPr>
        <w:numPr>
          <w:numId w:val="0"/>
        </w:numPr>
        <w:rPr>
          <w:rFonts w:hint="eastAsia"/>
          <w:b/>
          <w:bCs/>
          <w:sz w:val="24"/>
          <w:szCs w:val="24"/>
          <w:lang w:val="en-US" w:eastAsia="zh-CN"/>
        </w:rPr>
      </w:pPr>
      <w:r>
        <w:rPr>
          <w:rFonts w:hint="eastAsia"/>
          <w:b/>
          <w:bCs/>
          <w:sz w:val="24"/>
          <w:szCs w:val="24"/>
          <w:lang w:val="en-US" w:eastAsia="zh-CN"/>
        </w:rPr>
        <w:t>2.10预应力技术指标</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预应力技术用于混凝土结构楼盖，可实现较小的结构高度跨越较大跨度。对平板及夹心板，其结构适用跨度为 7~15m，高跨比为 1/40~1/50；对密肋楼盖或扁梁楼盖，其适用跨度为 8~18m，高跨比为 1/20~1/30；对框架梁、连续梁结构，其适用跨度为 12~40m，高跨比为 1/18~1/25。在高层或超高层建筑的楼盖结构中采用该技术可有效降低楼盖结构高度，实现大跨度，并在保证净高的条件下，降低建筑层高，降低总建筑高度；或在建筑总限高不变条件下，可有效增加建筑层数，具有节省材料和造价，提供灵活空间等优点。在多层大跨度楼盖中采用该技术可提高结构性能、节省钢筋和混凝土材料、简化梁板施工工艺、加快施工速度、降低建筑造价。目前常用预应力筋强度为 1860MPa 级钢绞线，施工张拉应力不超过预应力筋公称强度的 0.75。详细技术指标参见现行国家标准《混凝土结构设计规范》GB50010、《无粘结预应力混凝土结构技术规程》JGJ92 等标35准。</w:t>
      </w:r>
    </w:p>
    <w:p>
      <w:pPr>
        <w:numPr>
          <w:numId w:val="0"/>
        </w:numPr>
        <w:ind w:leftChars="0"/>
        <w:rPr>
          <w:rFonts w:hint="eastAsia"/>
          <w:b/>
          <w:bCs/>
          <w:sz w:val="24"/>
          <w:szCs w:val="24"/>
          <w:lang w:val="en-US" w:eastAsia="zh-CN"/>
        </w:rPr>
      </w:pPr>
      <w:r>
        <w:rPr>
          <w:rFonts w:hint="eastAsia"/>
          <w:b/>
          <w:bCs/>
          <w:sz w:val="24"/>
          <w:szCs w:val="24"/>
          <w:lang w:val="en-US" w:eastAsia="zh-CN"/>
        </w:rPr>
        <w:t>2.11建筑用成型钢筋制品加工与配送技术指标</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建筑用成型钢筋制品加工与配送技术指标应符合行标《混凝土结构成型钢筋应用技术规程》JGJ366 和国标《混凝土结构用成型钢筋制品》GB29733 的有关规定。具体要求如下。</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（1）钢筋进厂时，加工配送企业应按国家现行相关标准的规定抽取试件作屈服强度、抗拉强度、伸长率、弯曲性能和重量偏差检验，检验结果应符合国家现行相关标准的规定。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（2）盘卷钢筋调直应采用无延伸功能的钢筋调直切断机进行，钢筋调直过程中对于平行辊式调直切断机调直前后钢筋的质量损耗不应大于 0.5%，对于转毂式和复合式调直切断机调直前后钢筋的质量损耗不应大于 1.2%。调直后的钢筋直线度每米不应大于 4mm，总直线度不应大于钢筋总长度的 0.4%，且不应有局部弯折。</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（3）钢筋单位长度允许重量偏差、钢筋的工艺性能参数、单件成型钢筋加工的尺寸形状允许偏差、组合成型钢筋加工的尺寸形状允许偏差应分别符合行标《混凝土结构成型钢筋应用技术规程》JGJ366 的规定。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成型钢筋进场时，应抽取试件作屈服强度、抗拉强度、伸长率和重量偏差检验，检验结果应符合国家现行相关标准的规定；对由热轧钢筋制成的成型钢筋，当有施工单位或监理单位的代表驻厂监督生产过程，并提供原材钢筋力学性能第三方检验报告时，可仅进行重量偏差检验。</w:t>
      </w:r>
    </w:p>
    <w:p>
      <w:pPr>
        <w:numPr>
          <w:ilvl w:val="0"/>
          <w:numId w:val="0"/>
        </w:numPr>
        <w:ind w:leftChars="0"/>
        <w:rPr>
          <w:rFonts w:hint="eastAsia"/>
          <w:b w:val="0"/>
          <w:bCs w:val="0"/>
          <w:sz w:val="24"/>
          <w:szCs w:val="24"/>
          <w:lang w:val="en-US" w:eastAsia="zh-CN"/>
        </w:rPr>
      </w:pPr>
      <w:r>
        <w:rPr>
          <w:rFonts w:hint="eastAsia"/>
          <w:b/>
          <w:bCs/>
          <w:sz w:val="24"/>
          <w:szCs w:val="24"/>
          <w:lang w:val="en-US" w:eastAsia="zh-CN"/>
        </w:rPr>
        <w:t>2.12钢筋机械锚固技术指标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 xml:space="preserve">  部分锚固板钢筋由钢筋的粘结段和锚固板共同承担钢筋的锚固力，此时锚固板承压面积不应小于钢筋公称面积的 4.5 倍，钢筋粘结段长度不宜小于 0.4lab；全锚固板钢筋由锚固板承担全部钢筋的锚固力，此时锚固板承压面积不应小于钢筋公称面积的 9 倍。锚固板与钢筋的连接强度不应小于被连接钢筋极限强度标准值，锚固板钢筋在混凝土中的实际锚固强度不应小于钢筋极限强度标准值，详细技术指标见行标《钢筋锚固板应用技术规程》JGJ256。</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相比传统的钢筋锚固技术，在混凝土结构中应用钢筋机械锚固技术，可减少钢筋锚固长度 40％以上，节约锚固钢筋 40％以上。</w:t>
      </w:r>
    </w:p>
    <w:p>
      <w:pPr>
        <w:numPr>
          <w:numId w:val="0"/>
        </w:numPr>
        <w:ind w:leftChars="0"/>
        <w:rPr>
          <w:rFonts w:hint="eastAsia"/>
          <w:b/>
          <w:bCs/>
          <w:sz w:val="32"/>
          <w:szCs w:val="32"/>
          <w:lang w:val="en-US" w:eastAsia="zh-CN"/>
        </w:rPr>
      </w:pPr>
      <w:r>
        <w:rPr>
          <w:rFonts w:hint="eastAsia"/>
          <w:b/>
          <w:bCs/>
          <w:sz w:val="32"/>
          <w:szCs w:val="32"/>
          <w:lang w:val="en-US" w:eastAsia="zh-CN"/>
        </w:rPr>
        <w:t>三．模板脚手架技术</w:t>
      </w:r>
    </w:p>
    <w:p>
      <w:pPr>
        <w:numPr>
          <w:numId w:val="0"/>
        </w:numPr>
        <w:rPr>
          <w:rFonts w:hint="eastAsia"/>
          <w:b w:val="0"/>
          <w:bCs w:val="0"/>
          <w:sz w:val="24"/>
          <w:szCs w:val="24"/>
          <w:lang w:val="en-US" w:eastAsia="zh-CN"/>
        </w:rPr>
      </w:pPr>
      <w:r>
        <w:rPr>
          <w:rFonts w:hint="eastAsia"/>
          <w:b/>
          <w:bCs/>
          <w:sz w:val="24"/>
          <w:szCs w:val="24"/>
          <w:lang w:val="en-US" w:eastAsia="zh-CN"/>
        </w:rPr>
        <w:t>3.1销键型脚手架及支撑架技术指标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（1）销键型钢管脚手架支撑架按验算立杆允许荷载确定搭设尺寸；</w:t>
      </w:r>
    </w:p>
    <w:p>
      <w:pPr>
        <w:numPr>
          <w:ilvl w:val="0"/>
          <w:numId w:val="0"/>
        </w:numPr>
        <w:rPr>
          <w:rFonts w:hint="eastAsia"/>
          <w:b w:val="0"/>
          <w:bCs w:val="0"/>
          <w:sz w:val="24"/>
          <w:szCs w:val="24"/>
          <w:lang w:val="en-US" w:eastAsia="zh-CN"/>
        </w:rPr>
      </w:pPr>
      <w:r>
        <w:rPr>
          <w:rFonts w:hint="eastAsia"/>
          <w:b w:val="0"/>
          <w:bCs w:val="0"/>
          <w:sz w:val="24"/>
          <w:szCs w:val="24"/>
          <w:lang w:val="en-US" w:eastAsia="zh-CN"/>
        </w:rPr>
        <w:t>（2）脚手架支撑架安装后的垂直偏差应控制在 1/500 以内；</w:t>
      </w:r>
    </w:p>
    <w:p>
      <w:pPr>
        <w:numPr>
          <w:ilvl w:val="0"/>
          <w:numId w:val="0"/>
        </w:numPr>
        <w:rPr>
          <w:rFonts w:hint="eastAsia"/>
          <w:b w:val="0"/>
          <w:bCs w:val="0"/>
          <w:sz w:val="24"/>
          <w:szCs w:val="24"/>
          <w:lang w:val="en-US" w:eastAsia="zh-CN"/>
        </w:rPr>
      </w:pPr>
      <w:r>
        <w:rPr>
          <w:rFonts w:hint="eastAsia"/>
          <w:b w:val="0"/>
          <w:bCs w:val="0"/>
          <w:sz w:val="24"/>
          <w:szCs w:val="24"/>
          <w:lang w:val="en-US" w:eastAsia="zh-CN"/>
        </w:rPr>
        <w:t>（3）底座丝杠外露尺寸不得大于相关标准规定要求；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（4）应对节点承载力进行校核，确保节点满足承载力要求，保证结构安全；</w:t>
      </w:r>
    </w:p>
    <w:p>
      <w:pPr>
        <w:numPr>
          <w:ilvl w:val="0"/>
          <w:numId w:val="0"/>
        </w:numPr>
        <w:rPr>
          <w:rFonts w:hint="eastAsia"/>
          <w:b w:val="0"/>
          <w:bCs w:val="0"/>
          <w:sz w:val="24"/>
          <w:szCs w:val="24"/>
          <w:lang w:val="en-US" w:eastAsia="zh-CN"/>
        </w:rPr>
      </w:pPr>
      <w:r>
        <w:rPr>
          <w:rFonts w:hint="eastAsia"/>
          <w:b w:val="0"/>
          <w:bCs w:val="0"/>
          <w:sz w:val="24"/>
          <w:szCs w:val="24"/>
          <w:lang w:val="en-US" w:eastAsia="zh-CN"/>
        </w:rPr>
        <w:t>（5）表面处理：热镀锌。</w:t>
      </w:r>
    </w:p>
    <w:p>
      <w:pPr>
        <w:numPr>
          <w:ilvl w:val="0"/>
          <w:numId w:val="0"/>
        </w:numPr>
        <w:rPr>
          <w:rFonts w:hint="eastAsia"/>
          <w:b/>
          <w:bCs/>
          <w:sz w:val="24"/>
          <w:szCs w:val="24"/>
          <w:lang w:val="en-US" w:eastAsia="zh-CN"/>
        </w:rPr>
      </w:pPr>
      <w:r>
        <w:rPr>
          <w:rFonts w:hint="eastAsia"/>
          <w:b/>
          <w:bCs/>
          <w:sz w:val="24"/>
          <w:szCs w:val="24"/>
          <w:lang w:val="en-US" w:eastAsia="zh-CN"/>
        </w:rPr>
        <w:t>3.2集成附着式升降脚手架技术指标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（1）架体高度不应大于 5 倍楼层高，架体宽度不应大于 1.2m。</w:t>
      </w:r>
    </w:p>
    <w:p>
      <w:pPr>
        <w:numPr>
          <w:ilvl w:val="0"/>
          <w:numId w:val="0"/>
        </w:numPr>
        <w:rPr>
          <w:rFonts w:hint="eastAsia"/>
          <w:b w:val="0"/>
          <w:bCs w:val="0"/>
          <w:sz w:val="24"/>
          <w:szCs w:val="24"/>
          <w:lang w:val="en-US" w:eastAsia="zh-CN"/>
        </w:rPr>
      </w:pPr>
      <w:r>
        <w:rPr>
          <w:rFonts w:hint="eastAsia"/>
          <w:b w:val="0"/>
          <w:bCs w:val="0"/>
          <w:sz w:val="24"/>
          <w:szCs w:val="24"/>
          <w:lang w:val="en-US" w:eastAsia="zh-CN"/>
        </w:rPr>
        <w:t>（2）两提升点直线跨度不应大于 7m，曲线或折线不应大于 5.4m。</w:t>
      </w:r>
    </w:p>
    <w:p>
      <w:pPr>
        <w:numPr>
          <w:ilvl w:val="0"/>
          <w:numId w:val="0"/>
        </w:numPr>
        <w:rPr>
          <w:rFonts w:hint="eastAsia"/>
          <w:b w:val="0"/>
          <w:bCs w:val="0"/>
          <w:sz w:val="24"/>
          <w:szCs w:val="24"/>
          <w:lang w:val="en-US" w:eastAsia="zh-CN"/>
        </w:rPr>
      </w:pPr>
      <w:r>
        <w:rPr>
          <w:rFonts w:hint="eastAsia"/>
          <w:b w:val="0"/>
          <w:bCs w:val="0"/>
          <w:sz w:val="24"/>
          <w:szCs w:val="24"/>
          <w:lang w:val="en-US" w:eastAsia="zh-CN"/>
        </w:rPr>
        <w:t>（3）架体全高与支承跨度的乘积不应大于 110m2 。</w:t>
      </w:r>
    </w:p>
    <w:p>
      <w:pPr>
        <w:numPr>
          <w:ilvl w:val="0"/>
          <w:numId w:val="0"/>
        </w:numPr>
        <w:rPr>
          <w:rFonts w:hint="eastAsia"/>
          <w:b w:val="0"/>
          <w:bCs w:val="0"/>
          <w:sz w:val="24"/>
          <w:szCs w:val="24"/>
          <w:lang w:val="en-US" w:eastAsia="zh-CN"/>
        </w:rPr>
      </w:pPr>
      <w:r>
        <w:rPr>
          <w:rFonts w:hint="eastAsia"/>
          <w:b w:val="0"/>
          <w:bCs w:val="0"/>
          <w:sz w:val="24"/>
          <w:szCs w:val="24"/>
          <w:lang w:val="en-US" w:eastAsia="zh-CN"/>
        </w:rPr>
        <w:t>（4）架体悬臂高度不应大于 6m 和 2/5 架体高度。</w:t>
      </w:r>
    </w:p>
    <w:p>
      <w:pPr>
        <w:numPr>
          <w:ilvl w:val="0"/>
          <w:numId w:val="0"/>
        </w:numPr>
        <w:rPr>
          <w:rFonts w:hint="eastAsia"/>
          <w:b w:val="0"/>
          <w:bCs w:val="0"/>
          <w:sz w:val="24"/>
          <w:szCs w:val="24"/>
          <w:lang w:val="en-US" w:eastAsia="zh-CN"/>
        </w:rPr>
      </w:pPr>
      <w:r>
        <w:rPr>
          <w:rFonts w:hint="eastAsia"/>
          <w:b w:val="0"/>
          <w:bCs w:val="0"/>
          <w:sz w:val="24"/>
          <w:szCs w:val="24"/>
          <w:lang w:val="en-US" w:eastAsia="zh-CN"/>
        </w:rPr>
        <w:t>（5）每点的额定提升荷载为 100kN。</w:t>
      </w:r>
    </w:p>
    <w:p>
      <w:pPr>
        <w:numPr>
          <w:ilvl w:val="0"/>
          <w:numId w:val="0"/>
        </w:numPr>
        <w:rPr>
          <w:rFonts w:hint="eastAsia"/>
          <w:b w:val="0"/>
          <w:bCs w:val="0"/>
          <w:sz w:val="24"/>
          <w:szCs w:val="24"/>
          <w:lang w:val="en-US" w:eastAsia="zh-CN"/>
        </w:rPr>
      </w:pPr>
      <w:r>
        <w:rPr>
          <w:rFonts w:hint="eastAsia"/>
          <w:b/>
          <w:bCs/>
          <w:sz w:val="24"/>
          <w:szCs w:val="24"/>
          <w:lang w:val="en-US" w:eastAsia="zh-CN"/>
        </w:rPr>
        <w:t>3.3电动桥式脚手架技术指标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（1）平台最大长度：双柱型为 30.1m，单柱型为 9.8m；</w:t>
      </w:r>
    </w:p>
    <w:p>
      <w:pPr>
        <w:numPr>
          <w:ilvl w:val="0"/>
          <w:numId w:val="0"/>
        </w:numPr>
        <w:rPr>
          <w:rFonts w:hint="eastAsia"/>
          <w:b w:val="0"/>
          <w:bCs w:val="0"/>
          <w:sz w:val="24"/>
          <w:szCs w:val="24"/>
          <w:lang w:val="en-US" w:eastAsia="zh-CN"/>
        </w:rPr>
      </w:pPr>
      <w:r>
        <w:rPr>
          <w:rFonts w:hint="eastAsia"/>
          <w:b w:val="0"/>
          <w:bCs w:val="0"/>
          <w:sz w:val="24"/>
          <w:szCs w:val="24"/>
          <w:lang w:val="en-US" w:eastAsia="zh-CN"/>
        </w:rPr>
        <w:t>（2）最大高度为 260m，当超过 120m 时需采取卸荷措施；</w:t>
      </w:r>
    </w:p>
    <w:p>
      <w:pPr>
        <w:numPr>
          <w:ilvl w:val="0"/>
          <w:numId w:val="0"/>
        </w:numPr>
        <w:rPr>
          <w:rFonts w:hint="eastAsia"/>
          <w:b w:val="0"/>
          <w:bCs w:val="0"/>
          <w:sz w:val="24"/>
          <w:szCs w:val="24"/>
          <w:lang w:val="en-US" w:eastAsia="zh-CN"/>
        </w:rPr>
      </w:pPr>
      <w:r>
        <w:rPr>
          <w:rFonts w:hint="eastAsia"/>
          <w:b w:val="0"/>
          <w:bCs w:val="0"/>
          <w:sz w:val="24"/>
          <w:szCs w:val="24"/>
          <w:lang w:val="en-US" w:eastAsia="zh-CN"/>
        </w:rPr>
        <w:t>（3）额定荷载：双柱型为 36kN，单柱型为 15kN；</w:t>
      </w:r>
    </w:p>
    <w:p>
      <w:pPr>
        <w:numPr>
          <w:ilvl w:val="0"/>
          <w:numId w:val="0"/>
        </w:numPr>
        <w:rPr>
          <w:rFonts w:hint="eastAsia"/>
          <w:b w:val="0"/>
          <w:bCs w:val="0"/>
          <w:sz w:val="24"/>
          <w:szCs w:val="24"/>
          <w:lang w:val="en-US" w:eastAsia="zh-CN"/>
        </w:rPr>
      </w:pPr>
      <w:r>
        <w:rPr>
          <w:rFonts w:hint="eastAsia"/>
          <w:b w:val="0"/>
          <w:bCs w:val="0"/>
          <w:sz w:val="24"/>
          <w:szCs w:val="24"/>
          <w:lang w:val="en-US" w:eastAsia="zh-CN"/>
        </w:rPr>
        <w:t>（4）平台工作面宽度为 1.35m，可伸长加宽 0.9m；</w:t>
      </w:r>
    </w:p>
    <w:p>
      <w:pPr>
        <w:numPr>
          <w:ilvl w:val="0"/>
          <w:numId w:val="0"/>
        </w:numPr>
        <w:rPr>
          <w:rFonts w:hint="eastAsia"/>
          <w:b w:val="0"/>
          <w:bCs w:val="0"/>
          <w:sz w:val="24"/>
          <w:szCs w:val="24"/>
          <w:lang w:val="en-US" w:eastAsia="zh-CN"/>
        </w:rPr>
      </w:pPr>
      <w:r>
        <w:rPr>
          <w:rFonts w:hint="eastAsia"/>
          <w:b w:val="0"/>
          <w:bCs w:val="0"/>
          <w:sz w:val="24"/>
          <w:szCs w:val="24"/>
          <w:lang w:val="en-US" w:eastAsia="zh-CN"/>
        </w:rPr>
        <w:t>（5）立柱附墙间距为 6m；</w:t>
      </w:r>
    </w:p>
    <w:p>
      <w:pPr>
        <w:numPr>
          <w:ilvl w:val="0"/>
          <w:numId w:val="0"/>
        </w:numPr>
        <w:rPr>
          <w:rFonts w:hint="eastAsia"/>
          <w:b w:val="0"/>
          <w:bCs w:val="0"/>
          <w:sz w:val="24"/>
          <w:szCs w:val="24"/>
          <w:lang w:val="en-US" w:eastAsia="zh-CN"/>
        </w:rPr>
      </w:pPr>
      <w:r>
        <w:rPr>
          <w:rFonts w:hint="eastAsia"/>
          <w:b w:val="0"/>
          <w:bCs w:val="0"/>
          <w:sz w:val="24"/>
          <w:szCs w:val="24"/>
          <w:lang w:val="en-US" w:eastAsia="zh-CN"/>
        </w:rPr>
        <w:t>（6）升降速度为 6m/min。</w:t>
      </w:r>
    </w:p>
    <w:p>
      <w:pPr>
        <w:numPr>
          <w:ilvl w:val="0"/>
          <w:numId w:val="0"/>
        </w:numPr>
        <w:rPr>
          <w:rFonts w:hint="eastAsia"/>
          <w:b w:val="0"/>
          <w:bCs w:val="0"/>
          <w:sz w:val="24"/>
          <w:szCs w:val="24"/>
          <w:lang w:val="en-US" w:eastAsia="zh-CN"/>
        </w:rPr>
      </w:pPr>
      <w:r>
        <w:rPr>
          <w:rFonts w:hint="eastAsia"/>
          <w:b/>
          <w:bCs/>
          <w:sz w:val="24"/>
          <w:szCs w:val="24"/>
          <w:lang w:val="en-US" w:eastAsia="zh-CN"/>
        </w:rPr>
        <w:t>3.4液压爬升模板技术指标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（1）液压油缸额定荷载 50kN、100kN、150kN，工作行程 150～600mm。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（2）油缸机位间距不宜超过 5m，当机位间距内采用梁模板时，间距不宜超过 6m。</w:t>
      </w:r>
    </w:p>
    <w:p>
      <w:pPr>
        <w:numPr>
          <w:ilvl w:val="0"/>
          <w:numId w:val="0"/>
        </w:numPr>
        <w:rPr>
          <w:rFonts w:hint="eastAsia"/>
          <w:b w:val="0"/>
          <w:bCs w:val="0"/>
          <w:sz w:val="24"/>
          <w:szCs w:val="24"/>
          <w:lang w:val="en-US" w:eastAsia="zh-CN"/>
        </w:rPr>
      </w:pPr>
      <w:r>
        <w:rPr>
          <w:rFonts w:hint="eastAsia"/>
          <w:b w:val="0"/>
          <w:bCs w:val="0"/>
          <w:sz w:val="24"/>
          <w:szCs w:val="24"/>
          <w:lang w:val="en-US" w:eastAsia="zh-CN"/>
        </w:rPr>
        <w:t>（3）油缸布置数量需根据爬模装置自重及施工荷载计算确定，根据《液压爬升模板工程技术规程》JGJ195 规定，油缸的工作荷载应不大于额定荷载的 1/2。</w:t>
      </w:r>
    </w:p>
    <w:p>
      <w:pPr>
        <w:numPr>
          <w:ilvl w:val="0"/>
          <w:numId w:val="0"/>
        </w:numPr>
        <w:rPr>
          <w:rFonts w:hint="eastAsia"/>
          <w:b w:val="0"/>
          <w:bCs w:val="0"/>
          <w:sz w:val="24"/>
          <w:szCs w:val="24"/>
          <w:lang w:val="en-US" w:eastAsia="zh-CN"/>
        </w:rPr>
      </w:pPr>
      <w:r>
        <w:rPr>
          <w:rFonts w:hint="eastAsia"/>
          <w:b w:val="0"/>
          <w:bCs w:val="0"/>
          <w:sz w:val="24"/>
          <w:szCs w:val="24"/>
          <w:lang w:val="en-US" w:eastAsia="zh-CN"/>
        </w:rPr>
        <w:t>（4）爬模装置爬升时，承载体受力处的混凝土强度必须大于 10MPa，并应满足爬模设计要求。</w:t>
      </w:r>
    </w:p>
    <w:p>
      <w:pPr>
        <w:numPr>
          <w:ilvl w:val="0"/>
          <w:numId w:val="0"/>
        </w:numPr>
        <w:rPr>
          <w:rFonts w:hint="eastAsia"/>
          <w:b/>
          <w:bCs/>
          <w:sz w:val="24"/>
          <w:szCs w:val="24"/>
          <w:lang w:val="en-US" w:eastAsia="zh-CN"/>
        </w:rPr>
      </w:pPr>
      <w:r>
        <w:rPr>
          <w:rFonts w:hint="eastAsia"/>
          <w:b/>
          <w:bCs/>
          <w:sz w:val="24"/>
          <w:szCs w:val="24"/>
          <w:lang w:val="en-US" w:eastAsia="zh-CN"/>
        </w:rPr>
        <w:t>3.5整体爬升钢平台技术指标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（1）双作用液压缸可采用短行程、中行程、长行程方式，液压油缸工作行程范围通常为</w:t>
      </w:r>
    </w:p>
    <w:p>
      <w:pPr>
        <w:numPr>
          <w:ilvl w:val="0"/>
          <w:numId w:val="0"/>
        </w:numPr>
        <w:rPr>
          <w:rFonts w:hint="eastAsia"/>
          <w:b w:val="0"/>
          <w:bCs w:val="0"/>
          <w:sz w:val="24"/>
          <w:szCs w:val="24"/>
          <w:lang w:val="en-US" w:eastAsia="zh-CN"/>
        </w:rPr>
      </w:pPr>
      <w:r>
        <w:rPr>
          <w:rFonts w:hint="eastAsia"/>
          <w:b w:val="0"/>
          <w:bCs w:val="0"/>
          <w:sz w:val="24"/>
          <w:szCs w:val="24"/>
          <w:lang w:val="en-US" w:eastAsia="zh-CN"/>
        </w:rPr>
        <w:t>350~6000mm，额定荷载通常为 400～4000kN，速度 80~100mm/min。</w:t>
      </w:r>
    </w:p>
    <w:p>
      <w:pPr>
        <w:numPr>
          <w:ilvl w:val="0"/>
          <w:numId w:val="0"/>
        </w:numPr>
        <w:rPr>
          <w:rFonts w:hint="eastAsia"/>
          <w:b w:val="0"/>
          <w:bCs w:val="0"/>
          <w:sz w:val="24"/>
          <w:szCs w:val="24"/>
          <w:lang w:val="en-US" w:eastAsia="zh-CN"/>
        </w:rPr>
      </w:pPr>
      <w:r>
        <w:rPr>
          <w:rFonts w:hint="eastAsia"/>
          <w:b w:val="0"/>
          <w:bCs w:val="0"/>
          <w:sz w:val="24"/>
          <w:szCs w:val="24"/>
          <w:lang w:val="en-US" w:eastAsia="zh-CN"/>
        </w:rPr>
        <w:t>（2）蜗轮蜗杆提升机螺杆行程范围通常为 3500~4500mm，螺杆直经通常为 40mm，额定荷载通常为 100～200kN，速度通常为 30~80mm/min。</w:t>
      </w:r>
    </w:p>
    <w:p>
      <w:pPr>
        <w:numPr>
          <w:ilvl w:val="0"/>
          <w:numId w:val="0"/>
        </w:numPr>
        <w:rPr>
          <w:rFonts w:hint="eastAsia"/>
          <w:b w:val="0"/>
          <w:bCs w:val="0"/>
          <w:sz w:val="24"/>
          <w:szCs w:val="24"/>
          <w:lang w:val="en-US" w:eastAsia="zh-CN"/>
        </w:rPr>
      </w:pPr>
      <w:r>
        <w:rPr>
          <w:rFonts w:hint="eastAsia"/>
          <w:b w:val="0"/>
          <w:bCs w:val="0"/>
          <w:sz w:val="24"/>
          <w:szCs w:val="24"/>
          <w:lang w:val="en-US" w:eastAsia="zh-CN"/>
        </w:rPr>
        <w:t>（3）双作用液压缸通过液控与电控协同工作，各油缸同步运行误差通常控制不大于 5mm。</w:t>
      </w:r>
    </w:p>
    <w:p>
      <w:pPr>
        <w:numPr>
          <w:ilvl w:val="0"/>
          <w:numId w:val="0"/>
        </w:numPr>
        <w:rPr>
          <w:rFonts w:hint="eastAsia"/>
          <w:b w:val="0"/>
          <w:bCs w:val="0"/>
          <w:sz w:val="24"/>
          <w:szCs w:val="24"/>
          <w:lang w:val="en-US" w:eastAsia="zh-CN"/>
        </w:rPr>
      </w:pPr>
      <w:r>
        <w:rPr>
          <w:rFonts w:hint="eastAsia"/>
          <w:b w:val="0"/>
          <w:bCs w:val="0"/>
          <w:sz w:val="24"/>
          <w:szCs w:val="24"/>
          <w:lang w:val="en-US" w:eastAsia="zh-CN"/>
        </w:rPr>
        <w:t>（4）蜗轮蜗杆提升机通过电控工作，各提升机同步运行误差通常控制不大于 15mm。</w:t>
      </w:r>
    </w:p>
    <w:p>
      <w:pPr>
        <w:numPr>
          <w:ilvl w:val="0"/>
          <w:numId w:val="0"/>
        </w:numPr>
        <w:rPr>
          <w:rFonts w:hint="eastAsia"/>
          <w:b w:val="0"/>
          <w:bCs w:val="0"/>
          <w:sz w:val="24"/>
          <w:szCs w:val="24"/>
          <w:lang w:val="en-US" w:eastAsia="zh-CN"/>
        </w:rPr>
      </w:pPr>
      <w:r>
        <w:rPr>
          <w:rFonts w:hint="eastAsia"/>
          <w:b w:val="0"/>
          <w:bCs w:val="0"/>
          <w:sz w:val="24"/>
          <w:szCs w:val="24"/>
          <w:lang w:val="en-US" w:eastAsia="zh-CN"/>
        </w:rPr>
        <w:t>（5）钢平台系统施工活荷载通常取值为 3.0~6.0kN/m2，脚手架和支撑系统通道活荷载通常取值为 1.0~3.0kN/m2。</w:t>
      </w:r>
    </w:p>
    <w:p>
      <w:pPr>
        <w:numPr>
          <w:ilvl w:val="0"/>
          <w:numId w:val="0"/>
        </w:numPr>
        <w:rPr>
          <w:rFonts w:hint="eastAsia"/>
          <w:b w:val="0"/>
          <w:bCs w:val="0"/>
          <w:sz w:val="24"/>
          <w:szCs w:val="24"/>
          <w:lang w:val="en-US" w:eastAsia="zh-CN"/>
        </w:rPr>
      </w:pPr>
      <w:r>
        <w:rPr>
          <w:rFonts w:hint="eastAsia"/>
          <w:b w:val="0"/>
          <w:bCs w:val="0"/>
          <w:sz w:val="24"/>
          <w:szCs w:val="24"/>
          <w:lang w:val="en-US" w:eastAsia="zh-CN"/>
        </w:rPr>
        <w:t>（6）爬升时按对应 8 级风速的风荷载取值计算，非爬升施工作业时按对应 12 级风速的风荷载取值计算，非爬升施工作业超过 12 级风速时采取构造措施与混凝土结构连接牢固。</w:t>
      </w:r>
    </w:p>
    <w:p>
      <w:pPr>
        <w:numPr>
          <w:ilvl w:val="0"/>
          <w:numId w:val="0"/>
        </w:numPr>
        <w:rPr>
          <w:rFonts w:hint="eastAsia"/>
          <w:b w:val="0"/>
          <w:bCs w:val="0"/>
          <w:sz w:val="24"/>
          <w:szCs w:val="24"/>
          <w:lang w:val="en-US" w:eastAsia="zh-CN"/>
        </w:rPr>
      </w:pPr>
      <w:r>
        <w:rPr>
          <w:rFonts w:hint="eastAsia"/>
          <w:b w:val="0"/>
          <w:bCs w:val="0"/>
          <w:sz w:val="24"/>
          <w:szCs w:val="24"/>
          <w:lang w:val="en-US" w:eastAsia="zh-CN"/>
        </w:rPr>
        <w:t>（7）整体爬升钢平台支撑于混凝土结构时，混凝土实体强度等级应满足混凝土结构设计要求，且不应小于 10MPa。</w:t>
      </w:r>
    </w:p>
    <w:p>
      <w:pPr>
        <w:numPr>
          <w:ilvl w:val="0"/>
          <w:numId w:val="0"/>
        </w:numPr>
        <w:rPr>
          <w:rFonts w:hint="eastAsia"/>
          <w:b w:val="0"/>
          <w:bCs w:val="0"/>
          <w:sz w:val="24"/>
          <w:szCs w:val="24"/>
          <w:lang w:val="en-US" w:eastAsia="zh-CN"/>
        </w:rPr>
      </w:pPr>
      <w:r>
        <w:rPr>
          <w:rFonts w:hint="eastAsia"/>
          <w:b w:val="0"/>
          <w:bCs w:val="0"/>
          <w:sz w:val="24"/>
          <w:szCs w:val="24"/>
          <w:lang w:val="en-US" w:eastAsia="zh-CN"/>
        </w:rPr>
        <w:t>（8）整体爬升钢平台防雷接地电阻不应大于 4Ω。</w:t>
      </w:r>
    </w:p>
    <w:p>
      <w:pPr>
        <w:numPr>
          <w:ilvl w:val="0"/>
          <w:numId w:val="0"/>
        </w:numPr>
        <w:rPr>
          <w:rFonts w:hint="eastAsia"/>
          <w:b/>
          <w:bCs/>
          <w:sz w:val="24"/>
          <w:szCs w:val="24"/>
          <w:lang w:val="en-US" w:eastAsia="zh-CN"/>
        </w:rPr>
      </w:pPr>
      <w:r>
        <w:rPr>
          <w:rFonts w:hint="eastAsia"/>
          <w:b/>
          <w:bCs/>
          <w:sz w:val="24"/>
          <w:szCs w:val="24"/>
          <w:lang w:val="en-US" w:eastAsia="zh-CN"/>
        </w:rPr>
        <w:t>3.6组合铝合金模板施工技术指标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（1）铝合金带肋面板、各类型材及板材应选用 6061-T6、6082-T6 或不低于上述牌号的力学</w:t>
      </w:r>
    </w:p>
    <w:p>
      <w:pPr>
        <w:numPr>
          <w:ilvl w:val="0"/>
          <w:numId w:val="0"/>
        </w:numPr>
        <w:rPr>
          <w:rFonts w:hint="eastAsia"/>
          <w:b w:val="0"/>
          <w:bCs w:val="0"/>
          <w:sz w:val="24"/>
          <w:szCs w:val="24"/>
          <w:lang w:val="en-US" w:eastAsia="zh-CN"/>
        </w:rPr>
      </w:pPr>
      <w:r>
        <w:rPr>
          <w:rFonts w:hint="eastAsia"/>
          <w:b w:val="0"/>
          <w:bCs w:val="0"/>
          <w:sz w:val="24"/>
          <w:szCs w:val="24"/>
          <w:lang w:val="en-US" w:eastAsia="zh-CN"/>
        </w:rPr>
        <w:t>性能；</w:t>
      </w:r>
    </w:p>
    <w:p>
      <w:pPr>
        <w:numPr>
          <w:ilvl w:val="0"/>
          <w:numId w:val="0"/>
        </w:numPr>
        <w:rPr>
          <w:rFonts w:hint="eastAsia"/>
          <w:b w:val="0"/>
          <w:bCs w:val="0"/>
          <w:sz w:val="24"/>
          <w:szCs w:val="24"/>
          <w:lang w:val="en-US" w:eastAsia="zh-CN"/>
        </w:rPr>
      </w:pPr>
      <w:r>
        <w:rPr>
          <w:rFonts w:hint="eastAsia"/>
          <w:b w:val="0"/>
          <w:bCs w:val="0"/>
          <w:sz w:val="24"/>
          <w:szCs w:val="24"/>
          <w:lang w:val="en-US" w:eastAsia="zh-CN"/>
        </w:rPr>
        <w:t>（2）平面模板规格：宽度 100～600mm，长度 600～3000mm，厚度 65mm；</w:t>
      </w:r>
    </w:p>
    <w:p>
      <w:pPr>
        <w:numPr>
          <w:ilvl w:val="0"/>
          <w:numId w:val="0"/>
        </w:numPr>
        <w:rPr>
          <w:rFonts w:hint="eastAsia"/>
          <w:b w:val="0"/>
          <w:bCs w:val="0"/>
          <w:sz w:val="24"/>
          <w:szCs w:val="24"/>
          <w:lang w:val="en-US" w:eastAsia="zh-CN"/>
        </w:rPr>
      </w:pPr>
      <w:r>
        <w:rPr>
          <w:rFonts w:hint="eastAsia"/>
          <w:b w:val="0"/>
          <w:bCs w:val="0"/>
          <w:sz w:val="24"/>
          <w:szCs w:val="24"/>
          <w:lang w:val="en-US" w:eastAsia="zh-CN"/>
        </w:rPr>
        <w:t>（3）阴角模板规格：100×100mm、100×125mm、100×150mm、110×150mm、120×150mm、</w:t>
      </w:r>
    </w:p>
    <w:p>
      <w:pPr>
        <w:numPr>
          <w:ilvl w:val="0"/>
          <w:numId w:val="0"/>
        </w:numPr>
        <w:rPr>
          <w:rFonts w:hint="eastAsia"/>
          <w:b w:val="0"/>
          <w:bCs w:val="0"/>
          <w:sz w:val="24"/>
          <w:szCs w:val="24"/>
          <w:lang w:val="en-US" w:eastAsia="zh-CN"/>
        </w:rPr>
      </w:pPr>
      <w:r>
        <w:rPr>
          <w:rFonts w:hint="eastAsia"/>
          <w:b w:val="0"/>
          <w:bCs w:val="0"/>
          <w:sz w:val="24"/>
          <w:szCs w:val="24"/>
          <w:lang w:val="en-US" w:eastAsia="zh-CN"/>
        </w:rPr>
        <w:t>130×150mm、140×150mm、150×150mm，长度600～3000mm；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（4）阳角模板规格：65×65mm；</w:t>
      </w:r>
    </w:p>
    <w:p>
      <w:pPr>
        <w:numPr>
          <w:ilvl w:val="0"/>
          <w:numId w:val="0"/>
        </w:numPr>
        <w:rPr>
          <w:rFonts w:hint="eastAsia"/>
          <w:b w:val="0"/>
          <w:bCs w:val="0"/>
          <w:sz w:val="24"/>
          <w:szCs w:val="24"/>
          <w:lang w:val="en-US" w:eastAsia="zh-CN"/>
        </w:rPr>
      </w:pPr>
      <w:r>
        <w:rPr>
          <w:rFonts w:hint="eastAsia"/>
          <w:b w:val="0"/>
          <w:bCs w:val="0"/>
          <w:sz w:val="24"/>
          <w:szCs w:val="24"/>
          <w:lang w:val="en-US" w:eastAsia="zh-CN"/>
        </w:rPr>
        <w:t>（5）独立支撑常用可调长度：1900～3500mm；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（6）墙体模板支点间距为800mm，在模板上加垂直均布荷载为30kN/m2时，最大挠度不应</w:t>
      </w:r>
    </w:p>
    <w:p>
      <w:pPr>
        <w:numPr>
          <w:ilvl w:val="0"/>
          <w:numId w:val="0"/>
        </w:numPr>
        <w:rPr>
          <w:rFonts w:hint="eastAsia"/>
          <w:b w:val="0"/>
          <w:bCs w:val="0"/>
          <w:sz w:val="24"/>
          <w:szCs w:val="24"/>
          <w:lang w:val="en-US" w:eastAsia="zh-CN"/>
        </w:rPr>
      </w:pPr>
      <w:r>
        <w:rPr>
          <w:rFonts w:hint="eastAsia"/>
          <w:b w:val="0"/>
          <w:bCs w:val="0"/>
          <w:sz w:val="24"/>
          <w:szCs w:val="24"/>
          <w:lang w:val="en-US" w:eastAsia="zh-CN"/>
        </w:rPr>
        <w:t>超过2mm；在模板上加垂直均布荷载到45kN/m2，保荷时间大于2h时，应不发生局部破坏或折曲，卸荷后残余变形不超过0.2mm，所有焊点无裂纹或撕裂；楼板模板支点间距1200mm，支点设在模板两端，最大挠度不应超过1/400，且不应超过2mm。</w:t>
      </w:r>
    </w:p>
    <w:p>
      <w:pPr>
        <w:numPr>
          <w:numId w:val="0"/>
        </w:numPr>
        <w:rPr>
          <w:rFonts w:hint="eastAsia"/>
          <w:b/>
          <w:bCs/>
          <w:sz w:val="24"/>
          <w:szCs w:val="24"/>
          <w:lang w:val="en-US" w:eastAsia="zh-CN"/>
        </w:rPr>
      </w:pPr>
      <w:r>
        <w:rPr>
          <w:rFonts w:hint="eastAsia"/>
          <w:b/>
          <w:bCs/>
          <w:sz w:val="24"/>
          <w:szCs w:val="24"/>
          <w:lang w:val="en-US" w:eastAsia="zh-CN"/>
        </w:rPr>
        <w:t>3.7组合式带肋塑料模板技术指标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（1）组合式带肋塑料模板宽度为 100～600mm，长度为 100mm、300 mm、600 mm、900 mm、</w:t>
      </w:r>
    </w:p>
    <w:p>
      <w:pPr>
        <w:numPr>
          <w:ilvl w:val="0"/>
          <w:numId w:val="0"/>
        </w:numPr>
        <w:rPr>
          <w:rFonts w:hint="eastAsia"/>
          <w:b w:val="0"/>
          <w:bCs w:val="0"/>
          <w:sz w:val="24"/>
          <w:szCs w:val="24"/>
          <w:lang w:val="en-US" w:eastAsia="zh-CN"/>
        </w:rPr>
      </w:pPr>
      <w:r>
        <w:rPr>
          <w:rFonts w:hint="eastAsia"/>
          <w:b w:val="0"/>
          <w:bCs w:val="0"/>
          <w:sz w:val="24"/>
          <w:szCs w:val="24"/>
          <w:lang w:val="en-US" w:eastAsia="zh-CN"/>
        </w:rPr>
        <w:t>1200 mm、1500mm，厚度 50mm；</w:t>
      </w:r>
    </w:p>
    <w:p>
      <w:pPr>
        <w:numPr>
          <w:ilvl w:val="0"/>
          <w:numId w:val="0"/>
        </w:numPr>
        <w:rPr>
          <w:rFonts w:hint="eastAsia"/>
          <w:b w:val="0"/>
          <w:bCs w:val="0"/>
          <w:sz w:val="24"/>
          <w:szCs w:val="24"/>
          <w:lang w:val="en-US" w:eastAsia="zh-CN"/>
        </w:rPr>
      </w:pPr>
      <w:r>
        <w:rPr>
          <w:rFonts w:hint="eastAsia"/>
          <w:b w:val="0"/>
          <w:bCs w:val="0"/>
          <w:sz w:val="24"/>
          <w:szCs w:val="24"/>
          <w:lang w:val="en-US" w:eastAsia="zh-CN"/>
        </w:rPr>
        <w:t>（2）组拼式阴角模宽度为 100mm、150mm、200mm，长度为 200 mm、250 mm、300 mm、</w:t>
      </w:r>
    </w:p>
    <w:p>
      <w:pPr>
        <w:numPr>
          <w:ilvl w:val="0"/>
          <w:numId w:val="0"/>
        </w:numPr>
        <w:rPr>
          <w:rFonts w:hint="eastAsia"/>
          <w:b w:val="0"/>
          <w:bCs w:val="0"/>
          <w:sz w:val="24"/>
          <w:szCs w:val="24"/>
          <w:lang w:val="en-US" w:eastAsia="zh-CN"/>
        </w:rPr>
      </w:pPr>
      <w:r>
        <w:rPr>
          <w:rFonts w:hint="eastAsia"/>
          <w:b w:val="0"/>
          <w:bCs w:val="0"/>
          <w:sz w:val="24"/>
          <w:szCs w:val="24"/>
          <w:lang w:val="en-US" w:eastAsia="zh-CN"/>
        </w:rPr>
        <w:t>600 mm、1200 mm、1500mm；</w:t>
      </w:r>
    </w:p>
    <w:p>
      <w:pPr>
        <w:numPr>
          <w:ilvl w:val="0"/>
          <w:numId w:val="0"/>
        </w:numPr>
        <w:rPr>
          <w:rFonts w:hint="eastAsia"/>
          <w:b w:val="0"/>
          <w:bCs w:val="0"/>
          <w:sz w:val="24"/>
          <w:szCs w:val="24"/>
          <w:lang w:val="en-US" w:eastAsia="zh-CN"/>
        </w:rPr>
      </w:pPr>
      <w:r>
        <w:rPr>
          <w:rFonts w:hint="eastAsia"/>
          <w:b w:val="0"/>
          <w:bCs w:val="0"/>
          <w:sz w:val="24"/>
          <w:szCs w:val="24"/>
          <w:lang w:val="en-US" w:eastAsia="zh-CN"/>
        </w:rPr>
        <w:t>（3）矩形钢管采用 2 根 30mm×60mm×2.5mm 或 2 根 40mm×60mm×2.5mm；</w:t>
      </w:r>
    </w:p>
    <w:p>
      <w:pPr>
        <w:numPr>
          <w:ilvl w:val="0"/>
          <w:numId w:val="0"/>
        </w:numPr>
        <w:rPr>
          <w:rFonts w:hint="eastAsia"/>
          <w:b w:val="0"/>
          <w:bCs w:val="0"/>
          <w:sz w:val="24"/>
          <w:szCs w:val="24"/>
          <w:lang w:val="en-US" w:eastAsia="zh-CN"/>
        </w:rPr>
      </w:pPr>
      <w:r>
        <w:rPr>
          <w:rFonts w:hint="eastAsia"/>
          <w:b w:val="0"/>
          <w:bCs w:val="0"/>
          <w:sz w:val="24"/>
          <w:szCs w:val="24"/>
          <w:lang w:val="en-US" w:eastAsia="zh-CN"/>
        </w:rPr>
        <w:t>（4）组合式带肋塑料模板可以周转使用 60～80 次；</w:t>
      </w:r>
    </w:p>
    <w:p>
      <w:pPr>
        <w:numPr>
          <w:ilvl w:val="0"/>
          <w:numId w:val="0"/>
        </w:numPr>
        <w:rPr>
          <w:rFonts w:hint="eastAsia"/>
          <w:b w:val="0"/>
          <w:bCs w:val="0"/>
          <w:sz w:val="24"/>
          <w:szCs w:val="24"/>
          <w:lang w:val="en-US" w:eastAsia="zh-CN"/>
        </w:rPr>
      </w:pPr>
      <w:r>
        <w:rPr>
          <w:rFonts w:hint="eastAsia"/>
          <w:b w:val="0"/>
          <w:bCs w:val="0"/>
          <w:sz w:val="24"/>
          <w:szCs w:val="24"/>
          <w:lang w:val="en-US" w:eastAsia="zh-CN"/>
        </w:rPr>
        <w:t>（5）组合式带肋塑料模板物理力学性能指标见下表：</w:t>
      </w:r>
    </w:p>
    <w:p>
      <w:pPr>
        <w:numPr>
          <w:ilvl w:val="0"/>
          <w:numId w:val="0"/>
        </w:numPr>
        <w:ind w:firstLine="1476" w:firstLineChars="700"/>
        <w:rPr>
          <w:rFonts w:hint="eastAsia"/>
          <w:b/>
          <w:bCs/>
          <w:sz w:val="21"/>
          <w:szCs w:val="21"/>
          <w:lang w:val="en-US" w:eastAsia="zh-CN"/>
        </w:rPr>
      </w:pPr>
      <w:r>
        <w:rPr>
          <w:rFonts w:hint="eastAsia"/>
          <w:b/>
          <w:bCs/>
          <w:sz w:val="21"/>
          <w:szCs w:val="21"/>
          <w:lang w:val="en-US" w:eastAsia="zh-CN"/>
        </w:rPr>
        <w:t>表 3.1 组合式带肋塑料模板物理力学性能指标</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325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项目</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单位</w:t>
            </w:r>
          </w:p>
        </w:tc>
        <w:tc>
          <w:tcPr>
            <w:tcW w:w="3255"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指标</w:t>
            </w:r>
          </w:p>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吸水率</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表面硬度（邵氏硬度）</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HD </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简支梁无缺口冲击强度</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kJ/m2</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弯曲强度</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MPa</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弯曲弹性模量</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MPa</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维卡软化点</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加热后尺寸变化率</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燃烧性能等级</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级</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模板跨中最大挠度</w:t>
            </w:r>
          </w:p>
        </w:tc>
        <w:tc>
          <w:tcPr>
            <w:tcW w:w="3255" w:type="dxa"/>
          </w:tcPr>
          <w:p>
            <w:pPr>
              <w:numPr>
                <w:ilvl w:val="0"/>
                <w:numId w:val="0"/>
              </w:numPr>
              <w:rPr>
                <w:rFonts w:hint="eastAsia"/>
                <w:b w:val="0"/>
                <w:bCs w:val="0"/>
                <w:sz w:val="24"/>
                <w:szCs w:val="24"/>
                <w:vertAlign w:val="baseline"/>
                <w:lang w:val="en-US" w:eastAsia="zh-CN"/>
              </w:rPr>
            </w:pP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1.5</w:t>
            </w:r>
          </w:p>
        </w:tc>
      </w:tr>
    </w:tbl>
    <w:p>
      <w:pPr>
        <w:numPr>
          <w:ilvl w:val="0"/>
          <w:numId w:val="0"/>
        </w:numPr>
        <w:rPr>
          <w:rFonts w:hint="eastAsia"/>
          <w:b w:val="0"/>
          <w:bCs w:val="0"/>
          <w:sz w:val="24"/>
          <w:szCs w:val="24"/>
          <w:lang w:val="en-US" w:eastAsia="zh-CN"/>
        </w:rPr>
      </w:pPr>
    </w:p>
    <w:p>
      <w:pPr>
        <w:numPr>
          <w:numId w:val="0"/>
        </w:numPr>
        <w:ind w:leftChars="0"/>
        <w:rPr>
          <w:rFonts w:hint="eastAsia"/>
          <w:b/>
          <w:bCs/>
          <w:sz w:val="24"/>
          <w:szCs w:val="24"/>
          <w:lang w:val="en-US" w:eastAsia="zh-CN"/>
        </w:rPr>
      </w:pPr>
      <w:r>
        <w:rPr>
          <w:rFonts w:hint="eastAsia"/>
          <w:b/>
          <w:bCs/>
          <w:sz w:val="24"/>
          <w:szCs w:val="24"/>
          <w:lang w:val="en-US" w:eastAsia="zh-CN"/>
        </w:rPr>
        <w:t>3.8清水混凝土模板技术指标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（1）饰面清水混凝土模板表面平整度 2mm；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（2）普通清水混凝土模板表面平整度 3mm；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（3）饰面清水混凝土模板相邻面板拼缝高低差≤0.5mm；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（4）相邻面板拼缝间隙 ≤0.8mm；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（5）饰面清水混凝土模板安装截面尺寸±3mm；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（6）饰面清水混凝土模板安装垂直度（层高不大于 5m）3mm。</w:t>
      </w:r>
    </w:p>
    <w:p>
      <w:pPr>
        <w:numPr>
          <w:ilvl w:val="0"/>
          <w:numId w:val="0"/>
        </w:numPr>
        <w:ind w:leftChars="0"/>
        <w:rPr>
          <w:rFonts w:hint="eastAsia"/>
          <w:b/>
          <w:bCs/>
          <w:sz w:val="24"/>
          <w:szCs w:val="24"/>
          <w:lang w:val="en-US" w:eastAsia="zh-CN"/>
        </w:rPr>
      </w:pPr>
      <w:r>
        <w:rPr>
          <w:rFonts w:hint="eastAsia"/>
          <w:b/>
          <w:bCs/>
          <w:sz w:val="24"/>
          <w:szCs w:val="24"/>
          <w:lang w:val="en-US" w:eastAsia="zh-CN"/>
        </w:rPr>
        <w:t>3.9预制节段箱梁模板技术指标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（1）模板面弧度一致，错台、间隙误差≤0.5mm；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（2）模板制造长度及宽度误差±1mm；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（3）平面度误差≤2mm/2m；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（4）模板安装完后腹板厚误差为（0，+5）mm；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（5）模板安装完后底板厚误差为（0，+5）mm；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（6）模板安装完后顶板厚误差为（0，+5）mm；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（7）模板周转次数 200 次以上。</w:t>
      </w:r>
    </w:p>
    <w:p>
      <w:pPr>
        <w:numPr>
          <w:ilvl w:val="0"/>
          <w:numId w:val="0"/>
        </w:numPr>
        <w:ind w:leftChars="0"/>
        <w:rPr>
          <w:rFonts w:hint="eastAsia"/>
          <w:b/>
          <w:bCs/>
          <w:sz w:val="24"/>
          <w:szCs w:val="24"/>
          <w:lang w:val="en-US" w:eastAsia="zh-CN"/>
        </w:rPr>
      </w:pPr>
      <w:r>
        <w:rPr>
          <w:rFonts w:hint="eastAsia"/>
          <w:b/>
          <w:bCs/>
          <w:sz w:val="24"/>
          <w:szCs w:val="24"/>
          <w:lang w:val="en-US" w:eastAsia="zh-CN"/>
        </w:rPr>
        <w:t>3.10管廊模板技术指标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（1）组合式带肋塑料模板：模板厚度 50mm，背楞矩形钢管 2 根 60mm×30mm×2mm 或 2 根60mm×40mm×2.5mm。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 2） 铝 合 金 模 板 ：模 板 厚 度 65mm ， 背 楞 矩 形 钢 管 2 根 80mm×40mm×3mm 或 2 根60mm×40mm×2.5mm。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（3）全钢大模板：模板厚度 85mm/86mm，背楞槽钢 100mm。</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（4）隧道模：模板台车整体轮廓表面纵向直线度误差≤1mm/2m，模板台车前后端轮廓误差≤2mm， 模板台车行走速度 3～8m/min。</w:t>
      </w:r>
    </w:p>
    <w:p>
      <w:pPr>
        <w:numPr>
          <w:ilvl w:val="0"/>
          <w:numId w:val="0"/>
        </w:numPr>
        <w:ind w:leftChars="0"/>
        <w:rPr>
          <w:rFonts w:hint="eastAsia"/>
          <w:b/>
          <w:bCs/>
          <w:sz w:val="24"/>
          <w:szCs w:val="24"/>
          <w:lang w:val="en-US" w:eastAsia="zh-CN"/>
        </w:rPr>
      </w:pPr>
      <w:r>
        <w:rPr>
          <w:rFonts w:hint="eastAsia"/>
          <w:b/>
          <w:bCs/>
          <w:sz w:val="24"/>
          <w:szCs w:val="24"/>
          <w:lang w:val="en-US" w:eastAsia="zh-CN"/>
        </w:rPr>
        <w:t>3.11  3D打印装饰造型模板技术指标</w:t>
      </w:r>
    </w:p>
    <w:p>
      <w:pPr>
        <w:numPr>
          <w:ilvl w:val="0"/>
          <w:numId w:val="0"/>
        </w:numPr>
        <w:ind w:leftChars="0" w:firstLine="3584" w:firstLineChars="1700"/>
        <w:rPr>
          <w:rFonts w:hint="eastAsia"/>
          <w:b w:val="0"/>
          <w:bCs w:val="0"/>
          <w:sz w:val="24"/>
          <w:szCs w:val="24"/>
          <w:lang w:val="en-US" w:eastAsia="zh-CN"/>
        </w:rPr>
      </w:pPr>
      <w:r>
        <w:rPr>
          <w:rFonts w:hint="eastAsia"/>
          <w:b/>
          <w:bCs/>
          <w:sz w:val="21"/>
          <w:szCs w:val="21"/>
          <w:lang w:val="en-US" w:eastAsia="zh-CN"/>
        </w:rPr>
        <w:t>表 3.2 主要技术指标参数</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325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主要指标</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1 类模板</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2 类模板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模板适用温度</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+65℃内</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+65℃内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肌理深度</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﹥25mm</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最大尺寸</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约 1m×5m</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约 4m×10m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弹性体类型</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轻型 γ=0.9</w:t>
            </w:r>
          </w:p>
        </w:tc>
        <w:tc>
          <w:tcPr>
            <w:tcW w:w="3255" w:type="dxa"/>
          </w:tcPr>
          <w:p>
            <w:pPr>
              <w:numPr>
                <w:ilvl w:val="0"/>
                <w:numId w:val="0"/>
              </w:numPr>
              <w:ind w:leftChars="0"/>
              <w:rPr>
                <w:rFonts w:hint="eastAsia"/>
                <w:b w:val="0"/>
                <w:bCs w:val="0"/>
                <w:sz w:val="24"/>
                <w:szCs w:val="24"/>
                <w:vertAlign w:val="baseline"/>
                <w:lang w:val="en-US" w:eastAsia="zh-CN"/>
              </w:rPr>
            </w:pPr>
            <w:r>
              <w:rPr>
                <w:rFonts w:hint="eastAsia"/>
                <w:b w:val="0"/>
                <w:bCs w:val="0"/>
                <w:sz w:val="24"/>
                <w:szCs w:val="24"/>
                <w:lang w:val="en-US" w:eastAsia="zh-CN"/>
              </w:rPr>
              <w:t>普通型γ=1.4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反复使用次数</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50 次</w:t>
            </w:r>
          </w:p>
        </w:tc>
        <w:tc>
          <w:tcPr>
            <w:tcW w:w="3255" w:type="dxa"/>
          </w:tcPr>
          <w:p>
            <w:pPr>
              <w:numPr>
                <w:ilvl w:val="0"/>
                <w:numId w:val="0"/>
              </w:numPr>
              <w:ind w:leftChars="0"/>
              <w:rPr>
                <w:rFonts w:hint="eastAsia"/>
                <w:b w:val="0"/>
                <w:bCs w:val="0"/>
                <w:sz w:val="24"/>
                <w:szCs w:val="24"/>
                <w:vertAlign w:val="baseline"/>
                <w:lang w:val="en-US" w:eastAsia="zh-CN"/>
              </w:rPr>
            </w:pPr>
            <w:r>
              <w:rPr>
                <w:rFonts w:hint="eastAsia"/>
                <w:b w:val="0"/>
                <w:bCs w:val="0"/>
                <w:sz w:val="24"/>
                <w:szCs w:val="24"/>
                <w:lang w:val="en-US" w:eastAsia="zh-CN"/>
              </w:rPr>
              <w:t>100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 xml:space="preserve"> 包装方式</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平放</w:t>
            </w:r>
          </w:p>
        </w:tc>
        <w:tc>
          <w:tcPr>
            <w:tcW w:w="3255"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卷拢</w:t>
            </w:r>
          </w:p>
        </w:tc>
      </w:tr>
    </w:tbl>
    <w:p>
      <w:pPr>
        <w:numPr>
          <w:ilvl w:val="0"/>
          <w:numId w:val="0"/>
        </w:numPr>
        <w:ind w:leftChars="0" w:firstLine="2400" w:firstLineChars="1000"/>
        <w:rPr>
          <w:rFonts w:hint="eastAsia"/>
          <w:b w:val="0"/>
          <w:bCs w:val="0"/>
          <w:sz w:val="24"/>
          <w:szCs w:val="24"/>
          <w:lang w:val="en-US" w:eastAsia="zh-CN"/>
        </w:rPr>
      </w:pPr>
    </w:p>
    <w:p>
      <w:pPr>
        <w:numPr>
          <w:numId w:val="0"/>
        </w:numPr>
        <w:ind w:leftChars="0"/>
        <w:rPr>
          <w:rFonts w:hint="eastAsia"/>
          <w:b/>
          <w:bCs/>
          <w:sz w:val="32"/>
          <w:szCs w:val="32"/>
          <w:lang w:val="en-US" w:eastAsia="zh-CN"/>
        </w:rPr>
      </w:pPr>
      <w:r>
        <w:rPr>
          <w:rFonts w:hint="eastAsia"/>
          <w:b/>
          <w:bCs/>
          <w:sz w:val="32"/>
          <w:szCs w:val="32"/>
          <w:lang w:val="en-US" w:eastAsia="zh-CN"/>
        </w:rPr>
        <w:t>四．装配式混凝土结构技术</w:t>
      </w:r>
    </w:p>
    <w:p>
      <w:pPr>
        <w:numPr>
          <w:numId w:val="0"/>
        </w:numPr>
        <w:rPr>
          <w:rFonts w:hint="eastAsia"/>
          <w:b w:val="0"/>
          <w:bCs w:val="0"/>
          <w:sz w:val="24"/>
          <w:szCs w:val="24"/>
          <w:lang w:val="en-US" w:eastAsia="zh-CN"/>
        </w:rPr>
      </w:pPr>
      <w:r>
        <w:rPr>
          <w:rFonts w:hint="eastAsia"/>
          <w:b/>
          <w:bCs/>
          <w:sz w:val="24"/>
          <w:szCs w:val="24"/>
          <w:lang w:val="en-US" w:eastAsia="zh-CN"/>
        </w:rPr>
        <w:t>4.1装配式混凝土剪力墙结构技术指标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高层装配整体式剪力墙结构和多层装配式剪力墙结构的设计应符合国家现行标准《装配式混凝土结构技术规程》JGJ1 和《装配式混凝土建筑技术标准》GB/T 51231 中的规定。《装配式混凝土结构技术规程》JGJ1、《装配式混凝土建筑技术标准》GB/T 51231 中将装配整体式剪力墙结构的最大适用高度比现浇结构适当降低。装配整体式剪力墙结构的高宽比限值，与现浇结构基本一致。</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作为混凝土结构的一种类型，装配式混凝土剪力墙结构在设计和施工中应该符合现行国家标准《混凝土结构设计规范》GB 50010、《混凝土结构施工规范》GB 50666、《混凝土结构工程施工质量验收规范》GB 50204 中各项基本规定；若房屋层数为 10 层及 10 层以上或者高度大于 28m，还应该参照《高层建筑混凝土结构技术规程》JGJ 3 中关于剪力墙结构的一般性规定。</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针对装配式混凝土剪力墙结构的特点，结构设计中还应该注意以下基本概念：</w:t>
      </w:r>
    </w:p>
    <w:p>
      <w:pPr>
        <w:numPr>
          <w:ilvl w:val="0"/>
          <w:numId w:val="0"/>
        </w:numPr>
        <w:rPr>
          <w:rFonts w:hint="eastAsia"/>
          <w:b w:val="0"/>
          <w:bCs w:val="0"/>
          <w:sz w:val="24"/>
          <w:szCs w:val="24"/>
          <w:lang w:val="en-US" w:eastAsia="zh-CN"/>
        </w:rPr>
      </w:pPr>
      <w:r>
        <w:rPr>
          <w:rFonts w:hint="eastAsia"/>
          <w:b w:val="0"/>
          <w:bCs w:val="0"/>
          <w:sz w:val="24"/>
          <w:szCs w:val="24"/>
          <w:lang w:val="en-US" w:eastAsia="zh-CN"/>
        </w:rPr>
        <w:t>（1）应采取有效措施加强结构的整体性。装配整体式剪力墙结构是在选用可靠的预制构件受力钢筋连接技术的基础上，采用预制构件与后浇混凝土相结合的方法，通过连接节点的合理构造措施，将预制构件连接成一个整体，保证其具有与现浇混凝土结构基本等同的承载能力和变形能力，达到与现浇混凝土结构等同的设计目标。其整体性主要体现在预制构件之间、预制构件与后57浇混凝土之间的连接节点上，包括接缝混凝土粗糙面及键槽的处理、钢筋连接锚固技术、各类附加钢筋、构造钢筋等。</w:t>
      </w:r>
    </w:p>
    <w:p>
      <w:pPr>
        <w:numPr>
          <w:ilvl w:val="0"/>
          <w:numId w:val="0"/>
        </w:numPr>
        <w:rPr>
          <w:rFonts w:hint="eastAsia"/>
          <w:b w:val="0"/>
          <w:bCs w:val="0"/>
          <w:sz w:val="24"/>
          <w:szCs w:val="24"/>
          <w:lang w:val="en-US" w:eastAsia="zh-CN"/>
        </w:rPr>
      </w:pPr>
      <w:r>
        <w:rPr>
          <w:rFonts w:hint="eastAsia"/>
          <w:b w:val="0"/>
          <w:bCs w:val="0"/>
          <w:sz w:val="24"/>
          <w:szCs w:val="24"/>
          <w:lang w:val="en-US" w:eastAsia="zh-CN"/>
        </w:rPr>
        <w:t>（2）装配式混凝土结构的材料宜采用高强钢筋与适宜的高强混凝土。预制构件在工厂生产，</w:t>
      </w:r>
    </w:p>
    <w:p>
      <w:pPr>
        <w:numPr>
          <w:ilvl w:val="0"/>
          <w:numId w:val="0"/>
        </w:numPr>
        <w:rPr>
          <w:rFonts w:hint="eastAsia"/>
          <w:b w:val="0"/>
          <w:bCs w:val="0"/>
          <w:sz w:val="24"/>
          <w:szCs w:val="24"/>
          <w:lang w:val="en-US" w:eastAsia="zh-CN"/>
        </w:rPr>
      </w:pPr>
      <w:r>
        <w:rPr>
          <w:rFonts w:hint="eastAsia"/>
          <w:b w:val="0"/>
          <w:bCs w:val="0"/>
          <w:sz w:val="24"/>
          <w:szCs w:val="24"/>
          <w:lang w:val="en-US" w:eastAsia="zh-CN"/>
        </w:rPr>
        <w:t>混凝土构件可实现蒸汽养护，对于混凝土的强度、抗冻性及耐久性有显著提升，方便高强混凝土技术的采用，且可以提早脱模提高生产效率；采用高强混凝土可以减小构件截面尺寸，便于运输吊装。采用高强钢筋，可以减少钢筋数量，简化连接节点，便于施工，降低成本。</w:t>
      </w:r>
    </w:p>
    <w:p>
      <w:pPr>
        <w:numPr>
          <w:ilvl w:val="0"/>
          <w:numId w:val="0"/>
        </w:numPr>
        <w:rPr>
          <w:rFonts w:hint="eastAsia"/>
          <w:b w:val="0"/>
          <w:bCs w:val="0"/>
          <w:sz w:val="24"/>
          <w:szCs w:val="24"/>
          <w:lang w:val="en-US" w:eastAsia="zh-CN"/>
        </w:rPr>
      </w:pPr>
      <w:r>
        <w:rPr>
          <w:rFonts w:hint="eastAsia"/>
          <w:b w:val="0"/>
          <w:bCs w:val="0"/>
          <w:sz w:val="24"/>
          <w:szCs w:val="24"/>
          <w:lang w:val="en-US" w:eastAsia="zh-CN"/>
        </w:rPr>
        <w:t>（3）装配式结构的节点和接缝应受力明确、构造可靠，一般采用经过充分的力学性能试验研究、施工工艺试验和实际工程检验的节点做法。节点和接缝的承载力、延性和耐久性等一般通过对构造、施工工艺等的严格要求来满足，必要时单独对节点和接缝的承载力进行验算。若采用相关标准、图集中均未涉及的新型节点连接构造，应进行必要的技术研究与试验验证。</w:t>
      </w:r>
    </w:p>
    <w:p>
      <w:pPr>
        <w:numPr>
          <w:ilvl w:val="0"/>
          <w:numId w:val="0"/>
        </w:numPr>
        <w:rPr>
          <w:rFonts w:hint="eastAsia"/>
          <w:b w:val="0"/>
          <w:bCs w:val="0"/>
          <w:sz w:val="24"/>
          <w:szCs w:val="24"/>
          <w:lang w:val="en-US" w:eastAsia="zh-CN"/>
        </w:rPr>
      </w:pPr>
      <w:r>
        <w:rPr>
          <w:rFonts w:hint="eastAsia"/>
          <w:b w:val="0"/>
          <w:bCs w:val="0"/>
          <w:sz w:val="24"/>
          <w:szCs w:val="24"/>
          <w:lang w:val="en-US" w:eastAsia="zh-CN"/>
        </w:rPr>
        <w:t>（4）装配整体式剪力墙结构中，预制构件合理的接缝位置、尺寸及形状的设计是十分重要的，应以模数化、标准化为设计工作基本原则。接缝对建筑功能、建筑平立面、结构受力状况、预制构件承载能力、制作安装、工程造价等都会产生一定的影响。设计时应满足建筑模数协调、建筑物理性能、结构和预制构件的承载能力、便于施工和进行质量控制等多项要求。</w:t>
      </w:r>
    </w:p>
    <w:p>
      <w:pPr>
        <w:numPr>
          <w:ilvl w:val="0"/>
          <w:numId w:val="0"/>
        </w:numPr>
        <w:rPr>
          <w:rFonts w:hint="eastAsia"/>
          <w:b/>
          <w:bCs/>
          <w:sz w:val="24"/>
          <w:szCs w:val="24"/>
          <w:lang w:val="en-US" w:eastAsia="zh-CN"/>
        </w:rPr>
      </w:pPr>
      <w:r>
        <w:rPr>
          <w:rFonts w:hint="eastAsia"/>
          <w:b/>
          <w:bCs/>
          <w:sz w:val="24"/>
          <w:szCs w:val="24"/>
          <w:lang w:val="en-US" w:eastAsia="zh-CN"/>
        </w:rPr>
        <w:t>4.2装配式混凝土框架结构技术指标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装配式框架结构的构件及结构的安全性与质量应满足国家现行标准《装配式混凝土结构技术规程》JGJ12014、《装配式混凝土建筑技术标准》GB/T 51231、《混凝土结构设计规范》GB50010、《混凝土结构工程施工规范》GB50666、《混凝土结构工程施工质量验收规范》GB50204 以及《预制预应力混凝土装配整体式框架结构技术规程》JGJ 224 等的有关规定。当采用钢筋机械连接技术时，应符合现行行业标准《钢筋机械连接应用技术规程》JGJ 107 的规定；当采用钢筋套筒灌浆连接技术时，应符合现行行业标准《钢筋套筒灌浆连接应用技术规程》JGJ 355 的规定；当钢筋采用锚固板的方式锚固时，应符合现行行业标准《钢筋锚固板应用技术规程》JGJ 256 的规定。</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装配整体式框架结构的关键技术指标如下：</w:t>
      </w:r>
    </w:p>
    <w:p>
      <w:pPr>
        <w:numPr>
          <w:ilvl w:val="0"/>
          <w:numId w:val="0"/>
        </w:numPr>
        <w:rPr>
          <w:rFonts w:hint="eastAsia"/>
          <w:b w:val="0"/>
          <w:bCs w:val="0"/>
          <w:sz w:val="24"/>
          <w:szCs w:val="24"/>
          <w:lang w:val="en-US" w:eastAsia="zh-CN"/>
        </w:rPr>
      </w:pPr>
      <w:r>
        <w:rPr>
          <w:rFonts w:hint="eastAsia"/>
          <w:b w:val="0"/>
          <w:bCs w:val="0"/>
          <w:sz w:val="24"/>
          <w:szCs w:val="24"/>
          <w:lang w:val="en-US" w:eastAsia="zh-CN"/>
        </w:rPr>
        <w:t>（1）装配整体式框架结构房屋的最大适用高度与现浇混凝土框架结构基本相同。</w:t>
      </w:r>
    </w:p>
    <w:p>
      <w:pPr>
        <w:numPr>
          <w:ilvl w:val="0"/>
          <w:numId w:val="0"/>
        </w:numPr>
        <w:rPr>
          <w:rFonts w:hint="eastAsia"/>
          <w:b w:val="0"/>
          <w:bCs w:val="0"/>
          <w:sz w:val="24"/>
          <w:szCs w:val="24"/>
          <w:lang w:val="en-US" w:eastAsia="zh-CN"/>
        </w:rPr>
      </w:pPr>
      <w:r>
        <w:rPr>
          <w:rFonts w:hint="eastAsia"/>
          <w:b w:val="0"/>
          <w:bCs w:val="0"/>
          <w:sz w:val="24"/>
          <w:szCs w:val="24"/>
          <w:lang w:val="en-US" w:eastAsia="zh-CN"/>
        </w:rPr>
        <w:t>（2）装配式混凝土框架结构宜采用高强混凝土、高强钢筋，框架梁和框架柱的纵向钢筋尽量选用大直径钢筋，以减少钢筋数量，拉大钢筋间距，有利于提高装配施工效率，保证施工质量，降低成本。</w:t>
      </w:r>
    </w:p>
    <w:p>
      <w:pPr>
        <w:numPr>
          <w:ilvl w:val="0"/>
          <w:numId w:val="0"/>
        </w:numPr>
        <w:rPr>
          <w:rFonts w:hint="eastAsia"/>
          <w:b w:val="0"/>
          <w:bCs w:val="0"/>
          <w:sz w:val="24"/>
          <w:szCs w:val="24"/>
          <w:lang w:val="en-US" w:eastAsia="zh-CN"/>
        </w:rPr>
      </w:pPr>
      <w:r>
        <w:rPr>
          <w:rFonts w:hint="eastAsia"/>
          <w:b w:val="0"/>
          <w:bCs w:val="0"/>
          <w:sz w:val="24"/>
          <w:szCs w:val="24"/>
          <w:lang w:val="en-US" w:eastAsia="zh-CN"/>
        </w:rPr>
        <w:t>（3）当房屋高度大于 12m 或层数超过 3 层时，预制柱宜采用套筒灌浆连接，包括全灌浆套筒和半灌浆套筒。矩形预制柱截面宽度或圆形预制柱直径不宜小于 400mm，且不宜小于同方向梁宽的 1.5 倍；预制柱的纵向钢筋在柱底采用套筒灌浆连接时，柱箍筋加密区长度不应小于纵向受力钢筋连接区域长度与 500mm 之和；当纵向钢筋的混凝土保护层厚度大于 50mm 时，宜采取增设钢筋网片等措施，控制裂缝宽度以及在受力过程中的混凝土保护层剥离脱落。当采用叠合框架梁时，后浇混凝土叠合层厚度不宜小于 150mm，抗震等级为一、二级叠合框架梁的梁端箍筋加密区宜采用整体封闭箍筋。</w:t>
      </w:r>
    </w:p>
    <w:p>
      <w:pPr>
        <w:numPr>
          <w:ilvl w:val="0"/>
          <w:numId w:val="0"/>
        </w:numPr>
        <w:rPr>
          <w:rFonts w:hint="eastAsia"/>
          <w:b w:val="0"/>
          <w:bCs w:val="0"/>
          <w:sz w:val="24"/>
          <w:szCs w:val="24"/>
          <w:lang w:val="en-US" w:eastAsia="zh-CN"/>
        </w:rPr>
      </w:pPr>
      <w:r>
        <w:rPr>
          <w:rFonts w:hint="eastAsia"/>
          <w:b w:val="0"/>
          <w:bCs w:val="0"/>
          <w:sz w:val="24"/>
          <w:szCs w:val="24"/>
          <w:lang w:val="en-US" w:eastAsia="zh-CN"/>
        </w:rPr>
        <w:t>（4）采用预制柱及叠合梁的装配整体式框架中，柱底接缝宜设置在楼面标高处，且后浇节点区混凝土上表面应设置粗糙面。柱纵向受力钢筋应贯穿后浇节点区，柱底接缝厚度为 20mm，并应用灌浆料填实。装配式框架节点中，包括中间层中节点、中间层端节点、顶层中节点和顶层端节点，框架梁和框架柱的纵向钢筋的锚固和连接可采用与现浇框架结构节点的方式，对于顶层端节点还可采用柱伸出屋面并将柱纵向受力钢筋锚固在伸出段内的方式。</w:t>
      </w:r>
    </w:p>
    <w:p>
      <w:pPr>
        <w:numPr>
          <w:ilvl w:val="0"/>
          <w:numId w:val="0"/>
        </w:numPr>
        <w:rPr>
          <w:rFonts w:hint="eastAsia"/>
          <w:b/>
          <w:bCs/>
          <w:sz w:val="24"/>
          <w:szCs w:val="24"/>
          <w:lang w:val="en-US" w:eastAsia="zh-CN"/>
        </w:rPr>
      </w:pPr>
      <w:r>
        <w:rPr>
          <w:rFonts w:hint="eastAsia"/>
          <w:b/>
          <w:bCs/>
          <w:sz w:val="24"/>
          <w:szCs w:val="24"/>
          <w:lang w:val="en-US" w:eastAsia="zh-CN"/>
        </w:rPr>
        <w:t>4.3混凝土叠合楼板技术指标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（1）预制混凝土叠合楼板的设计及构造要求应符合国家现行标准《混凝土结构设计规范》</w:t>
      </w:r>
    </w:p>
    <w:p>
      <w:pPr>
        <w:numPr>
          <w:ilvl w:val="0"/>
          <w:numId w:val="0"/>
        </w:numPr>
        <w:rPr>
          <w:rFonts w:hint="eastAsia"/>
          <w:b w:val="0"/>
          <w:bCs w:val="0"/>
          <w:sz w:val="24"/>
          <w:szCs w:val="24"/>
          <w:lang w:val="en-US" w:eastAsia="zh-CN"/>
        </w:rPr>
      </w:pPr>
      <w:r>
        <w:rPr>
          <w:rFonts w:hint="eastAsia"/>
          <w:b w:val="0"/>
          <w:bCs w:val="0"/>
          <w:sz w:val="24"/>
          <w:szCs w:val="24"/>
          <w:lang w:val="en-US" w:eastAsia="zh-CN"/>
        </w:rPr>
        <w:t>GB50010、《装配式混凝土结构技术规程》JGJ 1、《装配式混凝土建筑技术标准》GB/T 51231 的</w:t>
      </w:r>
    </w:p>
    <w:p>
      <w:pPr>
        <w:numPr>
          <w:ilvl w:val="0"/>
          <w:numId w:val="0"/>
        </w:numPr>
        <w:rPr>
          <w:rFonts w:hint="eastAsia"/>
          <w:b w:val="0"/>
          <w:bCs w:val="0"/>
          <w:sz w:val="24"/>
          <w:szCs w:val="24"/>
          <w:lang w:val="en-US" w:eastAsia="zh-CN"/>
        </w:rPr>
      </w:pPr>
      <w:r>
        <w:rPr>
          <w:rFonts w:hint="eastAsia"/>
          <w:b w:val="0"/>
          <w:bCs w:val="0"/>
          <w:sz w:val="24"/>
          <w:szCs w:val="24"/>
          <w:lang w:val="en-US" w:eastAsia="zh-CN"/>
        </w:rPr>
        <w:t>相关要求；预制底板制作、施工及短暂设计状况设计应符合《混凝土结构施工规范》GB 50666 的相关要求；施工验收应符合《混凝土结构工程施工质量验收规范》GB 50204 的相关要求。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（2）相关国家建筑标准设计图集包括《桁架钢筋混凝土叠合板（60mm 厚底板）》15G366-1、</w:t>
      </w:r>
    </w:p>
    <w:p>
      <w:pPr>
        <w:numPr>
          <w:ilvl w:val="0"/>
          <w:numId w:val="0"/>
        </w:numPr>
        <w:rPr>
          <w:rFonts w:hint="eastAsia"/>
          <w:b w:val="0"/>
          <w:bCs w:val="0"/>
          <w:sz w:val="24"/>
          <w:szCs w:val="24"/>
          <w:lang w:val="en-US" w:eastAsia="zh-CN"/>
        </w:rPr>
      </w:pPr>
      <w:r>
        <w:rPr>
          <w:rFonts w:hint="eastAsia"/>
          <w:b w:val="0"/>
          <w:bCs w:val="0"/>
          <w:sz w:val="24"/>
          <w:szCs w:val="24"/>
          <w:lang w:val="en-US" w:eastAsia="zh-CN"/>
        </w:rPr>
        <w:t>《预制带肋底板混凝土叠合板》14G443、《预应力混凝土叠合板（50mm、60mm 实心底板）》</w:t>
      </w:r>
    </w:p>
    <w:p>
      <w:pPr>
        <w:numPr>
          <w:ilvl w:val="0"/>
          <w:numId w:val="0"/>
        </w:numPr>
        <w:rPr>
          <w:rFonts w:hint="eastAsia"/>
          <w:b w:val="0"/>
          <w:bCs w:val="0"/>
          <w:sz w:val="24"/>
          <w:szCs w:val="24"/>
          <w:lang w:val="en-US" w:eastAsia="zh-CN"/>
        </w:rPr>
      </w:pPr>
      <w:r>
        <w:rPr>
          <w:rFonts w:hint="eastAsia"/>
          <w:b w:val="0"/>
          <w:bCs w:val="0"/>
          <w:sz w:val="24"/>
          <w:szCs w:val="24"/>
          <w:lang w:val="en-US" w:eastAsia="zh-CN"/>
        </w:rPr>
        <w:t>06SG439-1。</w:t>
      </w:r>
    </w:p>
    <w:p>
      <w:pPr>
        <w:numPr>
          <w:ilvl w:val="0"/>
          <w:numId w:val="0"/>
        </w:numPr>
        <w:rPr>
          <w:rFonts w:hint="eastAsia"/>
          <w:b w:val="0"/>
          <w:bCs w:val="0"/>
          <w:sz w:val="24"/>
          <w:szCs w:val="24"/>
          <w:lang w:val="en-US" w:eastAsia="zh-CN"/>
        </w:rPr>
      </w:pPr>
      <w:r>
        <w:rPr>
          <w:rFonts w:hint="eastAsia"/>
          <w:b w:val="0"/>
          <w:bCs w:val="0"/>
          <w:sz w:val="24"/>
          <w:szCs w:val="24"/>
          <w:lang w:val="en-US" w:eastAsia="zh-CN"/>
        </w:rPr>
        <w:t>（3）预制混凝土底板的混凝土强度等级不宜低于 C30；预制预应力混凝土底板的混凝土强度等级不宜低于 C40，且不应低于 C30；后浇混凝土叠合层的混凝土强度等级不宜低于 C25。</w:t>
      </w:r>
    </w:p>
    <w:p>
      <w:pPr>
        <w:numPr>
          <w:ilvl w:val="0"/>
          <w:numId w:val="0"/>
        </w:numPr>
        <w:rPr>
          <w:rFonts w:hint="eastAsia"/>
          <w:b w:val="0"/>
          <w:bCs w:val="0"/>
          <w:sz w:val="24"/>
          <w:szCs w:val="24"/>
          <w:lang w:val="en-US" w:eastAsia="zh-CN"/>
        </w:rPr>
      </w:pPr>
      <w:r>
        <w:rPr>
          <w:rFonts w:hint="eastAsia"/>
          <w:b w:val="0"/>
          <w:bCs w:val="0"/>
          <w:sz w:val="24"/>
          <w:szCs w:val="24"/>
          <w:lang w:val="en-US" w:eastAsia="zh-CN"/>
        </w:rPr>
        <w:t>（4）预制底板厚度不宜小于 60mm，后浇混凝土叠合层厚度不应小于 60mm。</w:t>
      </w:r>
    </w:p>
    <w:p>
      <w:pPr>
        <w:numPr>
          <w:ilvl w:val="0"/>
          <w:numId w:val="0"/>
        </w:numPr>
        <w:rPr>
          <w:rFonts w:hint="eastAsia"/>
          <w:b w:val="0"/>
          <w:bCs w:val="0"/>
          <w:sz w:val="24"/>
          <w:szCs w:val="24"/>
          <w:lang w:val="en-US" w:eastAsia="zh-CN"/>
        </w:rPr>
      </w:pPr>
      <w:r>
        <w:rPr>
          <w:rFonts w:hint="eastAsia"/>
          <w:b w:val="0"/>
          <w:bCs w:val="0"/>
          <w:sz w:val="24"/>
          <w:szCs w:val="24"/>
          <w:lang w:val="en-US" w:eastAsia="zh-CN"/>
        </w:rPr>
        <w:t>（5）预制底板和后浇混凝土叠合层之间的结合面应设置粗糙面，其面积不宜小于结合面的</w:t>
      </w:r>
    </w:p>
    <w:p>
      <w:pPr>
        <w:numPr>
          <w:ilvl w:val="0"/>
          <w:numId w:val="0"/>
        </w:numPr>
        <w:rPr>
          <w:rFonts w:hint="eastAsia"/>
          <w:b w:val="0"/>
          <w:bCs w:val="0"/>
          <w:sz w:val="24"/>
          <w:szCs w:val="24"/>
          <w:lang w:val="en-US" w:eastAsia="zh-CN"/>
        </w:rPr>
      </w:pPr>
      <w:r>
        <w:rPr>
          <w:rFonts w:hint="eastAsia"/>
          <w:b w:val="0"/>
          <w:bCs w:val="0"/>
          <w:sz w:val="24"/>
          <w:szCs w:val="24"/>
          <w:lang w:val="en-US" w:eastAsia="zh-CN"/>
        </w:rPr>
        <w:t>80%，凹凸深度不应小于 4mm；设置桁架钢筋的预制底板，设置自然粗糙面即可。</w:t>
      </w:r>
    </w:p>
    <w:p>
      <w:pPr>
        <w:numPr>
          <w:ilvl w:val="0"/>
          <w:numId w:val="0"/>
        </w:numPr>
        <w:rPr>
          <w:rFonts w:hint="eastAsia"/>
          <w:b w:val="0"/>
          <w:bCs w:val="0"/>
          <w:sz w:val="24"/>
          <w:szCs w:val="24"/>
          <w:lang w:val="en-US" w:eastAsia="zh-CN"/>
        </w:rPr>
      </w:pPr>
      <w:r>
        <w:rPr>
          <w:rFonts w:hint="eastAsia"/>
          <w:b w:val="0"/>
          <w:bCs w:val="0"/>
          <w:sz w:val="24"/>
          <w:szCs w:val="24"/>
          <w:lang w:val="en-US" w:eastAsia="zh-CN"/>
        </w:rPr>
        <w:t>（6）预制底板跨度大于 4m，或用于悬挑板及相邻悬挑板上部纵向钢筋在在悬挑层内锚固时，应设置桁架钢筋或设置其他形式的抗剪构造钢筋。</w:t>
      </w:r>
    </w:p>
    <w:p>
      <w:pPr>
        <w:numPr>
          <w:ilvl w:val="0"/>
          <w:numId w:val="0"/>
        </w:numPr>
        <w:rPr>
          <w:rFonts w:hint="eastAsia"/>
          <w:b w:val="0"/>
          <w:bCs w:val="0"/>
          <w:sz w:val="24"/>
          <w:szCs w:val="24"/>
          <w:lang w:val="en-US" w:eastAsia="zh-CN"/>
        </w:rPr>
      </w:pPr>
      <w:r>
        <w:rPr>
          <w:rFonts w:hint="eastAsia"/>
          <w:b w:val="0"/>
          <w:bCs w:val="0"/>
          <w:sz w:val="24"/>
          <w:szCs w:val="24"/>
          <w:lang w:val="en-US" w:eastAsia="zh-CN"/>
        </w:rPr>
        <w:t>（7）预制底板采用预制预应力底板时，应采取控制反拱的可靠措施。</w:t>
      </w:r>
    </w:p>
    <w:p>
      <w:pPr>
        <w:numPr>
          <w:ilvl w:val="0"/>
          <w:numId w:val="0"/>
        </w:numPr>
        <w:rPr>
          <w:rFonts w:hint="eastAsia"/>
          <w:b w:val="0"/>
          <w:bCs w:val="0"/>
          <w:sz w:val="24"/>
          <w:szCs w:val="24"/>
          <w:lang w:val="en-US" w:eastAsia="zh-CN"/>
        </w:rPr>
      </w:pPr>
      <w:r>
        <w:rPr>
          <w:rFonts w:hint="eastAsia"/>
          <w:b/>
          <w:bCs/>
          <w:sz w:val="24"/>
          <w:szCs w:val="24"/>
          <w:lang w:val="en-US" w:eastAsia="zh-CN"/>
        </w:rPr>
        <w:t>4.4预制混凝土外墙挂板技术指标</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支承预制混凝土外墙挂板的结构构件应具有足够的承载力和刚度，民用外墙挂板仅限跨越一个层高和一个开间，厚度不宜小于 100mm，混凝土强度等级不低于 C25，主要技术指标如下：</w:t>
      </w:r>
    </w:p>
    <w:p>
      <w:pPr>
        <w:numPr>
          <w:ilvl w:val="0"/>
          <w:numId w:val="0"/>
        </w:numPr>
        <w:rPr>
          <w:rFonts w:hint="eastAsia"/>
          <w:b w:val="0"/>
          <w:bCs w:val="0"/>
          <w:sz w:val="24"/>
          <w:szCs w:val="24"/>
          <w:lang w:val="en-US" w:eastAsia="zh-CN"/>
        </w:rPr>
      </w:pPr>
      <w:r>
        <w:rPr>
          <w:rFonts w:hint="eastAsia"/>
          <w:b w:val="0"/>
          <w:bCs w:val="0"/>
          <w:sz w:val="24"/>
          <w:szCs w:val="24"/>
          <w:lang w:val="en-US" w:eastAsia="zh-CN"/>
        </w:rPr>
        <w:t>（1）结构性能应满足现行国家标准《混凝土结构设计规范》GB50010 和《混凝土结构工程</w:t>
      </w:r>
    </w:p>
    <w:p>
      <w:pPr>
        <w:numPr>
          <w:ilvl w:val="0"/>
          <w:numId w:val="0"/>
        </w:numPr>
        <w:rPr>
          <w:rFonts w:hint="eastAsia"/>
          <w:b w:val="0"/>
          <w:bCs w:val="0"/>
          <w:sz w:val="24"/>
          <w:szCs w:val="24"/>
          <w:lang w:val="en-US" w:eastAsia="zh-CN"/>
        </w:rPr>
      </w:pPr>
      <w:r>
        <w:rPr>
          <w:rFonts w:hint="eastAsia"/>
          <w:b w:val="0"/>
          <w:bCs w:val="0"/>
          <w:sz w:val="24"/>
          <w:szCs w:val="24"/>
          <w:lang w:val="en-US" w:eastAsia="zh-CN"/>
        </w:rPr>
        <w:t>施工质量验收规范》GB50204 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（2）装饰性能应满足现行国家标准《建筑装饰装修工程质量验收规范》GB50210 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（3）保温隔热性能应满足设计及现行行业标准《民用建筑节能设计标准》JGJ26 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（4）抗震性能应满足国家现行标准《装配式混凝土结构技术规规程》JGJ12014、《装配式混</w:t>
      </w:r>
    </w:p>
    <w:p>
      <w:pPr>
        <w:numPr>
          <w:ilvl w:val="0"/>
          <w:numId w:val="0"/>
        </w:numPr>
        <w:rPr>
          <w:rFonts w:hint="eastAsia"/>
          <w:b w:val="0"/>
          <w:bCs w:val="0"/>
          <w:sz w:val="24"/>
          <w:szCs w:val="24"/>
          <w:lang w:val="en-US" w:eastAsia="zh-CN"/>
        </w:rPr>
      </w:pPr>
      <w:r>
        <w:rPr>
          <w:rFonts w:hint="eastAsia"/>
          <w:b w:val="0"/>
          <w:bCs w:val="0"/>
          <w:sz w:val="24"/>
          <w:szCs w:val="24"/>
          <w:lang w:val="en-US" w:eastAsia="zh-CN"/>
        </w:rPr>
        <w:t>凝土建筑技术标准》GB/T 51231 要求。与主体结构采用柔性节点连接，地震时适应结构层间变位性能好，抗震性能满足抗震设防烈度为 8 度的地区应用要求。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（5）构件燃烧性能及耐火极限应满足现行国家标准《建筑防火设计规范》GB50016 的要求。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（6）作为建筑围护结构产品定位应与主体结构的耐久性要求一致，即不应低于 50 年设计使用年限，饰面装饰（涂料除外）及预埋件、连接件等配套材料耐久性设计使用年限不低于 50 年，其他如防水材料、涂料等应采用 10 年质保期以上的材料，定期进行维护更换。</w:t>
      </w:r>
    </w:p>
    <w:p>
      <w:pPr>
        <w:numPr>
          <w:ilvl w:val="0"/>
          <w:numId w:val="0"/>
        </w:numPr>
        <w:rPr>
          <w:rFonts w:hint="eastAsia"/>
          <w:b w:val="0"/>
          <w:bCs w:val="0"/>
          <w:sz w:val="24"/>
          <w:szCs w:val="24"/>
          <w:lang w:val="en-US" w:eastAsia="zh-CN"/>
        </w:rPr>
      </w:pPr>
      <w:r>
        <w:rPr>
          <w:rFonts w:hint="eastAsia"/>
          <w:b w:val="0"/>
          <w:bCs w:val="0"/>
          <w:sz w:val="24"/>
          <w:szCs w:val="24"/>
          <w:lang w:val="en-US" w:eastAsia="zh-CN"/>
        </w:rPr>
        <w:t>（7）外墙挂板防水性能与有关构造应符合国家现行有关标准的规定，并符合《10 项新技术》</w:t>
      </w:r>
    </w:p>
    <w:p>
      <w:pPr>
        <w:numPr>
          <w:ilvl w:val="0"/>
          <w:numId w:val="0"/>
        </w:numPr>
        <w:rPr>
          <w:rFonts w:hint="eastAsia"/>
          <w:b w:val="0"/>
          <w:bCs w:val="0"/>
          <w:sz w:val="24"/>
          <w:szCs w:val="24"/>
          <w:lang w:val="en-US" w:eastAsia="zh-CN"/>
        </w:rPr>
      </w:pPr>
      <w:r>
        <w:rPr>
          <w:rFonts w:hint="eastAsia"/>
          <w:b w:val="0"/>
          <w:bCs w:val="0"/>
          <w:sz w:val="24"/>
          <w:szCs w:val="24"/>
          <w:lang w:val="en-US" w:eastAsia="zh-CN"/>
        </w:rPr>
        <w:t>第 8.6 节有关规定。</w:t>
      </w:r>
    </w:p>
    <w:p>
      <w:pPr>
        <w:numPr>
          <w:ilvl w:val="0"/>
          <w:numId w:val="0"/>
        </w:numPr>
        <w:ind w:leftChars="0"/>
        <w:rPr>
          <w:rFonts w:hint="eastAsia"/>
          <w:b/>
          <w:bCs/>
          <w:sz w:val="24"/>
          <w:szCs w:val="24"/>
          <w:lang w:val="en-US" w:eastAsia="zh-CN"/>
        </w:rPr>
      </w:pPr>
      <w:r>
        <w:rPr>
          <w:rFonts w:hint="eastAsia"/>
          <w:b/>
          <w:bCs/>
          <w:sz w:val="24"/>
          <w:szCs w:val="24"/>
          <w:lang w:val="en-US" w:eastAsia="zh-CN"/>
        </w:rPr>
        <w:t>4.5夹心保温墙板技术指标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夹心保温墙板的设计应该与建筑结构同寿命，墙板中的保温拉接件应具有足够的承载力和变形性能。非组合夹心墙板应遵循“外叶墙混凝土在温差变化作用下能够释放温度应力，与内叶墙之间能够形成微小的自由滑移”的设计原则。</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对于非组合夹心保温外墙的拉接件在与混凝土共同工作时，承载力安全系数应满足以下要求：对于抗震设防烈度为 7 度、8 度地区，考虑地震组合时安全系数不小于 3.0，不考虑地震组合时安全系数不小于 4.0；对于 9 度及以上地区，必须考虑地震组合，承载力安全系数不小于 3.0。</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非组合夹心保温墙板的外叶墙在自重作用下垂直位移应控制在一定范围内，内、外叶墙之间不得有穿过保温层的混凝土连通桥。</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夹心保温墙板的热工性能应满足节能计算要求。拉结件本身应满足力学、锚固及耐久等性能要求，拉结件的产品与设计应用应符合国家现行有关标准的规定。</w:t>
      </w:r>
    </w:p>
    <w:p>
      <w:pPr>
        <w:numPr>
          <w:ilvl w:val="0"/>
          <w:numId w:val="0"/>
        </w:numPr>
        <w:rPr>
          <w:rFonts w:hint="eastAsia"/>
          <w:b/>
          <w:bCs/>
          <w:sz w:val="24"/>
          <w:szCs w:val="24"/>
          <w:lang w:val="en-US" w:eastAsia="zh-CN"/>
        </w:rPr>
      </w:pPr>
      <w:r>
        <w:rPr>
          <w:rFonts w:hint="eastAsia"/>
          <w:b/>
          <w:bCs/>
          <w:sz w:val="24"/>
          <w:szCs w:val="24"/>
          <w:lang w:val="en-US" w:eastAsia="zh-CN"/>
        </w:rPr>
        <w:t>4.6叠合剪力墙结构技术指标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叠合剪力墙结构采用与现浇剪力墙结构相同的方法进行结构分析与设计，其主要力学技术指标与现浇混凝土结构相同，但当同一层内既有预制又有现浇抗侧力构件时，地震设计状况下宜对现浇水平抗侧力构件在地震作用下的弯矩和剪力乘以不小于 1.1 的增大系数。高层叠合剪力墙结构其建筑高度、规则性、结构类型应满足现行国家标准《装配式混凝土建筑技术标准》GB/T 51231等规范标准要求。</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结构与构件的设计应满足国家现行标准《建筑结构荷载规范》GB50009、《建筑抗震设计规</w:t>
      </w:r>
    </w:p>
    <w:p>
      <w:pPr>
        <w:numPr>
          <w:ilvl w:val="0"/>
          <w:numId w:val="0"/>
        </w:numPr>
        <w:rPr>
          <w:rFonts w:hint="eastAsia"/>
          <w:b w:val="0"/>
          <w:bCs w:val="0"/>
          <w:sz w:val="24"/>
          <w:szCs w:val="24"/>
          <w:lang w:val="en-US" w:eastAsia="zh-CN"/>
        </w:rPr>
      </w:pPr>
      <w:r>
        <w:rPr>
          <w:rFonts w:hint="eastAsia"/>
          <w:b w:val="0"/>
          <w:bCs w:val="0"/>
          <w:sz w:val="24"/>
          <w:szCs w:val="24"/>
          <w:lang w:val="en-US" w:eastAsia="zh-CN"/>
        </w:rPr>
        <w:t>范》GB50011、《混凝土结构设计规范》GB50010 和《装配式混凝土建筑技术标准》GB/T 51231</w:t>
      </w:r>
    </w:p>
    <w:p>
      <w:pPr>
        <w:numPr>
          <w:ilvl w:val="0"/>
          <w:numId w:val="0"/>
        </w:numPr>
        <w:rPr>
          <w:rFonts w:hint="eastAsia"/>
          <w:b w:val="0"/>
          <w:bCs w:val="0"/>
          <w:sz w:val="24"/>
          <w:szCs w:val="24"/>
          <w:lang w:val="en-US" w:eastAsia="zh-CN"/>
        </w:rPr>
      </w:pPr>
      <w:r>
        <w:rPr>
          <w:rFonts w:hint="eastAsia"/>
          <w:b w:val="0"/>
          <w:bCs w:val="0"/>
          <w:sz w:val="24"/>
          <w:szCs w:val="24"/>
          <w:lang w:val="en-US" w:eastAsia="zh-CN"/>
        </w:rPr>
        <w:t>等现行国家、行业规范标准要求。</w:t>
      </w:r>
    </w:p>
    <w:p>
      <w:pPr>
        <w:numPr>
          <w:ilvl w:val="0"/>
          <w:numId w:val="0"/>
        </w:numPr>
        <w:rPr>
          <w:rFonts w:hint="eastAsia"/>
          <w:b/>
          <w:bCs/>
          <w:sz w:val="24"/>
          <w:szCs w:val="24"/>
          <w:lang w:val="en-US" w:eastAsia="zh-CN"/>
        </w:rPr>
      </w:pPr>
      <w:r>
        <w:rPr>
          <w:rFonts w:hint="eastAsia"/>
          <w:b/>
          <w:bCs/>
          <w:sz w:val="24"/>
          <w:szCs w:val="24"/>
          <w:lang w:val="en-US" w:eastAsia="zh-CN"/>
        </w:rPr>
        <w:t>4.7预制预应力混凝土构件技术指标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（1）预应力混凝土空心板的标志宽度为 1.2m，也有 0.6m、0.9m 等其他宽度；标准板高 100mm、120mm、150mm、180mm、200mm、250mm、300mm、380mm 等；不同截面高度能够满足的板轴跨度为 3~18m。</w:t>
      </w:r>
    </w:p>
    <w:p>
      <w:pPr>
        <w:numPr>
          <w:ilvl w:val="0"/>
          <w:numId w:val="0"/>
        </w:numPr>
        <w:rPr>
          <w:rFonts w:hint="eastAsia"/>
          <w:b w:val="0"/>
          <w:bCs w:val="0"/>
          <w:sz w:val="24"/>
          <w:szCs w:val="24"/>
          <w:lang w:val="en-US" w:eastAsia="zh-CN"/>
        </w:rPr>
      </w:pPr>
      <w:r>
        <w:rPr>
          <w:rFonts w:hint="eastAsia"/>
          <w:b w:val="0"/>
          <w:bCs w:val="0"/>
          <w:sz w:val="24"/>
          <w:szCs w:val="24"/>
          <w:lang w:val="en-US" w:eastAsia="zh-CN"/>
        </w:rPr>
        <w:t>（2）预应力混凝土双 T 板包括双 T 坡板和双 T 平板，坡板的标志宽度 2.4m、3.0m 等，坡板的标志跨度 9m、12m、15m、18m、21m、24m 等；平板的标志跨度 2.0m、2.4m、3.0m 等，平板的标志跨度 9m、12m、15m、18m、21m、24m 等。</w:t>
      </w:r>
    </w:p>
    <w:p>
      <w:pPr>
        <w:numPr>
          <w:ilvl w:val="0"/>
          <w:numId w:val="0"/>
        </w:numPr>
        <w:rPr>
          <w:rFonts w:hint="eastAsia"/>
          <w:b w:val="0"/>
          <w:bCs w:val="0"/>
          <w:sz w:val="24"/>
          <w:szCs w:val="24"/>
          <w:lang w:val="en-US" w:eastAsia="zh-CN"/>
        </w:rPr>
      </w:pPr>
      <w:r>
        <w:rPr>
          <w:rFonts w:hint="eastAsia"/>
          <w:b w:val="0"/>
          <w:bCs w:val="0"/>
          <w:sz w:val="24"/>
          <w:szCs w:val="24"/>
          <w:lang w:val="en-US" w:eastAsia="zh-CN"/>
        </w:rPr>
        <w:t>（3）预应力混凝土梁跨度根据工程实际确定，在工业建筑中多为 6m、7.5m、9m 跨度。</w:t>
      </w:r>
    </w:p>
    <w:p>
      <w:pPr>
        <w:numPr>
          <w:ilvl w:val="0"/>
          <w:numId w:val="0"/>
        </w:numPr>
        <w:rPr>
          <w:rFonts w:hint="eastAsia"/>
          <w:b w:val="0"/>
          <w:bCs w:val="0"/>
          <w:sz w:val="24"/>
          <w:szCs w:val="24"/>
          <w:lang w:val="en-US" w:eastAsia="zh-CN"/>
        </w:rPr>
      </w:pPr>
      <w:r>
        <w:rPr>
          <w:rFonts w:hint="eastAsia"/>
          <w:b w:val="0"/>
          <w:bCs w:val="0"/>
          <w:sz w:val="24"/>
          <w:szCs w:val="24"/>
          <w:lang w:val="en-US" w:eastAsia="zh-CN"/>
        </w:rPr>
        <w:t>（4）预应力混凝土墙板多为固定宽度（1.5m、2.0m、3.0m 等），长度根据柱距或层高确定。</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根据工程需要，也可采用非标跨度、宽度的构件，采用单独设计的方法即可。</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预制预应力混凝土板的生产、安装、施工应满足国家现行标准《混凝土结构设计规范》</w:t>
      </w:r>
    </w:p>
    <w:p>
      <w:pPr>
        <w:numPr>
          <w:ilvl w:val="0"/>
          <w:numId w:val="0"/>
        </w:numPr>
        <w:rPr>
          <w:rFonts w:hint="eastAsia"/>
          <w:b w:val="0"/>
          <w:bCs w:val="0"/>
          <w:sz w:val="24"/>
          <w:szCs w:val="24"/>
          <w:lang w:val="en-US" w:eastAsia="zh-CN"/>
        </w:rPr>
      </w:pPr>
      <w:r>
        <w:rPr>
          <w:rFonts w:hint="eastAsia"/>
          <w:b w:val="0"/>
          <w:bCs w:val="0"/>
          <w:sz w:val="24"/>
          <w:szCs w:val="24"/>
          <w:lang w:val="en-US" w:eastAsia="zh-CN"/>
        </w:rPr>
        <w:t>GB50010，《混凝土结构工程施工质量验收规范》GB50204，《装配式混凝土结构技术规程》JGJ 1的有关规定。工程应用可执行《预应力混凝土圆孔板》03SG435-1~2，《SP 预应力空心板》05SG408，《预应力混凝土双 T 板》06SG432-1、09SG432-2、08SG432-3，《大跨度预应力空心板（跨度4.2m~18.0m）》13G440 等国家建筑标准设计图集，直接选用预制构件，也可根据工程情况单独设计。</w:t>
      </w:r>
    </w:p>
    <w:p>
      <w:pPr>
        <w:numPr>
          <w:numId w:val="0"/>
        </w:numPr>
        <w:ind w:leftChars="0"/>
        <w:rPr>
          <w:rFonts w:hint="eastAsia"/>
          <w:b/>
          <w:bCs/>
          <w:sz w:val="24"/>
          <w:szCs w:val="24"/>
          <w:lang w:val="en-US" w:eastAsia="zh-CN"/>
        </w:rPr>
      </w:pPr>
      <w:r>
        <w:rPr>
          <w:rFonts w:hint="eastAsia"/>
          <w:b/>
          <w:bCs/>
          <w:sz w:val="24"/>
          <w:szCs w:val="24"/>
          <w:lang w:val="en-US" w:eastAsia="zh-CN"/>
        </w:rPr>
        <w:t>4.8钢筋套筒灌浆连接技术指标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钢筋套筒灌浆连接技术的应用须满足国家现行标准《装配式混凝土技术规程》JGJ 1、《钢筋套筒灌浆连接应用技术规程》JGJ 355 和《装配式混凝土建筑技术标准》GB/T 51231 的相关规定。钢筋套筒灌浆连接的传力机理比传统机械连接更复杂，《钢筋套筒灌浆连接应用技术规程》JGJ 355对钢筋套筒灌浆连接接头性能、型式检验、工艺检验、施工与验收等进行了专门要求。</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灌浆套筒按加工方式分为铸造灌浆套筒和机械加工灌浆套筒。铸造灌浆套筒宜选用球墨铸铁，机械加工套筒宜选用优质碳素结构钢、低合金高强度结构钢、合金结构钢或其它经过接头型式检验确定符合要求的钢材。</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灌浆套筒的设计、生产和制造应符合现行行业标准《钢筋连接用灌浆套筒》JG/T 398 的相关规定，专用水泥基灌浆料应符合现行行业标准《钢筋连接用套筒灌浆料》JG/T 408 的各项要求。当采用其他材料的灌浆套筒时，套筒性能指标应符合有关产品标准的规定。</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套筒材料主要性能指标：球墨铸铁灌浆套筒的抗拉强度不小于 550 MPa，断后伸长率不小于5 %，球化率不小于85 %；各类钢制灌浆套筒的抗拉强度不小于600 MPa，屈服强度不小于355 MPa，断后伸长率不小于 16 %；其他材料套筒符合有关产品标准要求。</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灌浆料主要性能指标：初始流动度不小 300mm，30min 流动度不小于 260mm，1d 抗压强度不小于 35 MPa，28d 抗压强度不小于 85 MPa。</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套筒材料在满足断后伸长率等指标要求的情况下，可采用抗拉强度超过 600MPa（如 900MPa、1000MPa）的材料，以减小套筒壁厚和外径尺寸，也可根据生产工艺采用其他强度的钢材。灌浆料在满足流动度等指标要求的情况下，可采用抗压强度超过 85MPa（如 110MPa、130MPa）的材料，以便于连接大直径钢筋、高强钢筋和缩短灌浆套筒长度。</w:t>
      </w:r>
    </w:p>
    <w:p>
      <w:pPr>
        <w:numPr>
          <w:numId w:val="0"/>
        </w:numPr>
        <w:ind w:leftChars="0"/>
        <w:rPr>
          <w:rFonts w:hint="eastAsia"/>
          <w:b/>
          <w:bCs/>
          <w:sz w:val="24"/>
          <w:szCs w:val="24"/>
          <w:lang w:val="en-US" w:eastAsia="zh-CN"/>
        </w:rPr>
      </w:pPr>
      <w:r>
        <w:rPr>
          <w:rFonts w:hint="eastAsia"/>
          <w:b/>
          <w:bCs/>
          <w:sz w:val="24"/>
          <w:szCs w:val="24"/>
          <w:lang w:val="en-US" w:eastAsia="zh-CN"/>
        </w:rPr>
        <w:t>4.9装配式混凝土结构建筑信息模型应用技术指标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建筑信息模型（BIM）技术指标主要有支撑全过程 BIM 平台技术、设计阶段模型精度、各类型部品部件参数化程度、构件标准化程度、设计直接对接工厂生产系统 CAM 技术、以及基于 BIM与物联网技术的装配式施工现场信息管理平台技术。装配式混凝土结构设计应符合国家现行标准《装配式混凝土建筑技术标准》GB/T 51231、《装配式混凝土结构技术规程》JGJ1 和《混凝土结构设计规范》GB50010 等的有关要求，也可选用《预制混凝土剪力墙外墙板》15G365-1、《预制钢筋混凝土阳台板、空调板及女儿墙》15G368-1 等国家建筑标准设计图集。</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除上述各项规定外，针对建筑信息模型技术的特点，在装配式建筑全过程 BIM 技术应用还应注意以下关键技术内容：</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(1)搭建模型时，应采用统一标准格式的各类型构件文件，且各类型构件文件应按照固定、规</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范的插入方式，放置在模型的合理位置。</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 预制构件出图排版阶段，应结合构件类型和尺寸，按照相关图集要求进项图纸排版，尺寸标注、辅助线段和文字说明，采用统一标准格式，并满足现行国家标准《建筑制图标准》GB/T 5010467和《建筑结构制图标准》GB/T 50105。</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 预制构件生产，应接力设计 BIM 模型，采用“BIM+MES+CAM”技术，实现工厂自动化</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钢筋生产、构件加工；应用二维码技术、RFID 芯片等可靠识别与管理技术，结构工厂生产管理系统，实现可追溯的全过程质量管控。</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 应用“BIM+物联网+GPS”技术，进行装配式预制构件运输过程追溯管理、施工现场可视</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化指导堆放、吊装等，实现装配式建筑可视化施工现场信息管理平台。</w:t>
      </w:r>
    </w:p>
    <w:p>
      <w:pPr>
        <w:numPr>
          <w:numId w:val="0"/>
        </w:numPr>
        <w:ind w:leftChars="0"/>
        <w:rPr>
          <w:rFonts w:hint="eastAsia"/>
          <w:b w:val="0"/>
          <w:bCs w:val="0"/>
          <w:sz w:val="24"/>
          <w:szCs w:val="24"/>
          <w:lang w:val="en-US" w:eastAsia="zh-CN"/>
        </w:rPr>
      </w:pPr>
      <w:r>
        <w:rPr>
          <w:rFonts w:hint="eastAsia"/>
          <w:b/>
          <w:bCs/>
          <w:sz w:val="24"/>
          <w:szCs w:val="24"/>
          <w:lang w:val="en-US" w:eastAsia="zh-CN"/>
        </w:rPr>
        <w:t>4.10预制构件工厂化生产加工技术指标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工厂化科学管理、自动化智能生产带来质量品质得到保证和提高；构件外观尺寸加工精度可达±2mm，混凝土强度标准差不大于 4.0MPa，预留预埋尺寸精度可达±1mm，保护层厚度控制偏差±3mm，通过预应力和伸长值偏差控制保证预应力构件起拱满足设计要求并处于同一水平，构件承载力满足设计和规范要求。</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预制构件的几何加工精度控制、混凝土强度控制、预埋件的精度、构件承载力性能、保护层厚度控制、预应力构件的预应力要求等尚应符合设计（包括标准图集）及有关标准的规定。</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预制构件生产的效率指标、成本指标、能耗指标、环境指标和安全指标，应满足有关要求。</w:t>
      </w:r>
    </w:p>
    <w:p>
      <w:pPr>
        <w:numPr>
          <w:numId w:val="0"/>
        </w:numPr>
        <w:ind w:leftChars="0"/>
        <w:rPr>
          <w:rFonts w:hint="eastAsia"/>
          <w:b/>
          <w:bCs/>
          <w:sz w:val="32"/>
          <w:szCs w:val="32"/>
          <w:lang w:val="en-US" w:eastAsia="zh-CN"/>
        </w:rPr>
      </w:pPr>
      <w:r>
        <w:rPr>
          <w:rFonts w:hint="eastAsia"/>
          <w:b/>
          <w:bCs/>
          <w:sz w:val="32"/>
          <w:szCs w:val="32"/>
          <w:lang w:val="en-US" w:eastAsia="zh-CN"/>
        </w:rPr>
        <w:t>五．钢结构技术</w:t>
      </w:r>
    </w:p>
    <w:p>
      <w:pPr>
        <w:numPr>
          <w:ilvl w:val="0"/>
          <w:numId w:val="0"/>
        </w:numPr>
        <w:ind w:leftChars="0"/>
        <w:rPr>
          <w:rFonts w:hint="eastAsia"/>
          <w:b/>
          <w:bCs/>
          <w:sz w:val="24"/>
          <w:szCs w:val="24"/>
          <w:lang w:val="en-US" w:eastAsia="zh-CN"/>
        </w:rPr>
      </w:pPr>
      <w:r>
        <w:rPr>
          <w:rFonts w:hint="eastAsia"/>
          <w:b/>
          <w:bCs/>
          <w:sz w:val="24"/>
          <w:szCs w:val="24"/>
          <w:lang w:val="en-US" w:eastAsia="zh-CN"/>
        </w:rPr>
        <w:t>5.1 高性能钢材应用技术指标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钢厂供货品种及规格：轧制钢板的厚度为 6～400mm，宽度为 1500～4800 mm，长度为 6000～25000mm。有多种交货方式，包括：普通轧制态 AR、控制轧制态 CR、正火轧制态 NR、控轧控冷态 TMCP、正火态 N、正火加回火态 N+T、调质态 QT 等。</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建筑结构用高强钢一般具有低碳、微合金、纯净化、细晶粒四个特点。使用高强度钢材时必须注意新钢种焊接性试验、焊接工艺评定、确定匹配的焊接材料和焊接工艺，编制焊接工艺规程。</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建筑用低屈服强度钢中残余元素铜、铬、镍的含量应各不大于 0.30%。成品钢板的化学成分允许偏差应符合 GB/T222 的规定。</w:t>
      </w:r>
    </w:p>
    <w:p>
      <w:pPr>
        <w:numPr>
          <w:ilvl w:val="0"/>
          <w:numId w:val="0"/>
        </w:numPr>
        <w:rPr>
          <w:rFonts w:hint="eastAsia"/>
          <w:b/>
          <w:bCs/>
          <w:sz w:val="24"/>
          <w:szCs w:val="24"/>
          <w:lang w:val="en-US" w:eastAsia="zh-CN"/>
        </w:rPr>
      </w:pPr>
      <w:r>
        <w:rPr>
          <w:rFonts w:hint="eastAsia"/>
          <w:b/>
          <w:bCs/>
          <w:sz w:val="24"/>
          <w:szCs w:val="24"/>
          <w:lang w:val="en-US" w:eastAsia="zh-CN"/>
        </w:rPr>
        <w:t>5.2 钢结构深化设计与物联网应用技术指标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（1）按照深化设计标准、要求等统一产品编码，采用专业软件开展深化设计工作。</w:t>
      </w:r>
    </w:p>
    <w:p>
      <w:pPr>
        <w:numPr>
          <w:ilvl w:val="0"/>
          <w:numId w:val="0"/>
        </w:numPr>
        <w:rPr>
          <w:rFonts w:hint="eastAsia"/>
          <w:b w:val="0"/>
          <w:bCs w:val="0"/>
          <w:sz w:val="24"/>
          <w:szCs w:val="24"/>
          <w:lang w:val="en-US" w:eastAsia="zh-CN"/>
        </w:rPr>
      </w:pPr>
      <w:r>
        <w:rPr>
          <w:rFonts w:hint="eastAsia"/>
          <w:b w:val="0"/>
          <w:bCs w:val="0"/>
          <w:sz w:val="24"/>
          <w:szCs w:val="24"/>
          <w:lang w:val="en-US" w:eastAsia="zh-CN"/>
        </w:rPr>
        <w:t>（2）按照企业自身管理规章等要求统一施工要素编码。</w:t>
      </w:r>
    </w:p>
    <w:p>
      <w:pPr>
        <w:numPr>
          <w:ilvl w:val="0"/>
          <w:numId w:val="0"/>
        </w:numPr>
        <w:rPr>
          <w:rFonts w:hint="eastAsia"/>
          <w:b w:val="0"/>
          <w:bCs w:val="0"/>
          <w:sz w:val="24"/>
          <w:szCs w:val="24"/>
          <w:lang w:val="en-US" w:eastAsia="zh-CN"/>
        </w:rPr>
      </w:pPr>
      <w:r>
        <w:rPr>
          <w:rFonts w:hint="eastAsia"/>
          <w:b w:val="0"/>
          <w:bCs w:val="0"/>
          <w:sz w:val="24"/>
          <w:szCs w:val="24"/>
          <w:lang w:val="en-US" w:eastAsia="zh-CN"/>
        </w:rPr>
        <w:t>（3）采用三维计算机辅助设计（CAD）、计算机辅助工艺规划（CAPP）、计算机辅助制造</w:t>
      </w:r>
    </w:p>
    <w:p>
      <w:pPr>
        <w:numPr>
          <w:ilvl w:val="0"/>
          <w:numId w:val="0"/>
        </w:numPr>
        <w:rPr>
          <w:rFonts w:hint="eastAsia"/>
          <w:b w:val="0"/>
          <w:bCs w:val="0"/>
          <w:sz w:val="24"/>
          <w:szCs w:val="24"/>
          <w:lang w:val="en-US" w:eastAsia="zh-CN"/>
        </w:rPr>
      </w:pPr>
      <w:r>
        <w:rPr>
          <w:rFonts w:hint="eastAsia"/>
          <w:b w:val="0"/>
          <w:bCs w:val="0"/>
          <w:sz w:val="24"/>
          <w:szCs w:val="24"/>
          <w:lang w:val="en-US" w:eastAsia="zh-CN"/>
        </w:rPr>
        <w:t>（CAM）、工艺路线仿真等工具和手段，提高数字化施工水平。</w:t>
      </w:r>
    </w:p>
    <w:p>
      <w:pPr>
        <w:numPr>
          <w:ilvl w:val="0"/>
          <w:numId w:val="0"/>
        </w:numPr>
        <w:rPr>
          <w:rFonts w:hint="eastAsia"/>
          <w:b w:val="0"/>
          <w:bCs w:val="0"/>
          <w:sz w:val="24"/>
          <w:szCs w:val="24"/>
          <w:lang w:val="en-US" w:eastAsia="zh-CN"/>
        </w:rPr>
      </w:pPr>
      <w:r>
        <w:rPr>
          <w:rFonts w:hint="eastAsia"/>
          <w:b w:val="0"/>
          <w:bCs w:val="0"/>
          <w:sz w:val="24"/>
          <w:szCs w:val="24"/>
          <w:lang w:val="en-US" w:eastAsia="zh-CN"/>
        </w:rPr>
        <w:t>（4）充分利用工业以太网，建立企业资源计划管理系统（ERP）、制造执行系统（MES）、</w:t>
      </w:r>
    </w:p>
    <w:p>
      <w:pPr>
        <w:numPr>
          <w:ilvl w:val="0"/>
          <w:numId w:val="0"/>
        </w:numPr>
        <w:rPr>
          <w:rFonts w:hint="eastAsia"/>
          <w:b w:val="0"/>
          <w:bCs w:val="0"/>
          <w:sz w:val="24"/>
          <w:szCs w:val="24"/>
          <w:lang w:val="en-US" w:eastAsia="zh-CN"/>
        </w:rPr>
      </w:pPr>
      <w:r>
        <w:rPr>
          <w:rFonts w:hint="eastAsia"/>
          <w:b w:val="0"/>
          <w:bCs w:val="0"/>
          <w:sz w:val="24"/>
          <w:szCs w:val="24"/>
          <w:lang w:val="en-US" w:eastAsia="zh-CN"/>
        </w:rPr>
        <w:t>供应链管理系统（SCM）、客户管理系统（CRM）、仓储管理系统（WMS）等信息化管理系统或相应功能模块，进行产品全生命期管理。</w:t>
      </w:r>
    </w:p>
    <w:p>
      <w:pPr>
        <w:numPr>
          <w:ilvl w:val="0"/>
          <w:numId w:val="0"/>
        </w:numPr>
        <w:rPr>
          <w:rFonts w:hint="eastAsia"/>
          <w:b w:val="0"/>
          <w:bCs w:val="0"/>
          <w:sz w:val="24"/>
          <w:szCs w:val="24"/>
          <w:lang w:val="en-US" w:eastAsia="zh-CN"/>
        </w:rPr>
      </w:pPr>
      <w:r>
        <w:rPr>
          <w:rFonts w:hint="eastAsia"/>
          <w:b w:val="0"/>
          <w:bCs w:val="0"/>
          <w:sz w:val="24"/>
          <w:szCs w:val="24"/>
          <w:lang w:val="en-US" w:eastAsia="zh-CN"/>
        </w:rPr>
        <w:t>（5）钢结构制造过程中可搭建自动化、柔性化、智能化的生产线，通过工业通信网络实现系统、设备、零部件以及人员之间的信息互联互通和有效集成。</w:t>
      </w:r>
    </w:p>
    <w:p>
      <w:pPr>
        <w:numPr>
          <w:ilvl w:val="0"/>
          <w:numId w:val="0"/>
        </w:numPr>
        <w:rPr>
          <w:rFonts w:hint="eastAsia"/>
          <w:b w:val="0"/>
          <w:bCs w:val="0"/>
          <w:sz w:val="24"/>
          <w:szCs w:val="24"/>
          <w:lang w:val="en-US" w:eastAsia="zh-CN"/>
        </w:rPr>
      </w:pPr>
      <w:r>
        <w:rPr>
          <w:rFonts w:hint="eastAsia"/>
          <w:b w:val="0"/>
          <w:bCs w:val="0"/>
          <w:sz w:val="24"/>
          <w:szCs w:val="24"/>
          <w:lang w:val="en-US" w:eastAsia="zh-CN"/>
        </w:rPr>
        <w:t>（6）基于物联网技术的应用，进一步建立信息与 BIM 模型有效整合的施工管理模式和协同</w:t>
      </w:r>
    </w:p>
    <w:p>
      <w:pPr>
        <w:numPr>
          <w:ilvl w:val="0"/>
          <w:numId w:val="0"/>
        </w:numPr>
        <w:rPr>
          <w:rFonts w:hint="eastAsia"/>
          <w:b w:val="0"/>
          <w:bCs w:val="0"/>
          <w:sz w:val="24"/>
          <w:szCs w:val="24"/>
          <w:lang w:val="en-US" w:eastAsia="zh-CN"/>
        </w:rPr>
      </w:pPr>
      <w:r>
        <w:rPr>
          <w:rFonts w:hint="eastAsia"/>
          <w:b w:val="0"/>
          <w:bCs w:val="0"/>
          <w:sz w:val="24"/>
          <w:szCs w:val="24"/>
          <w:lang w:val="en-US" w:eastAsia="zh-CN"/>
        </w:rPr>
        <w:t>工作机制，明确施工阶段各参与方的协同工作流程和成果提交内容，明确人员职责，制定管理制度。</w:t>
      </w:r>
    </w:p>
    <w:p>
      <w:pPr>
        <w:numPr>
          <w:ilvl w:val="0"/>
          <w:numId w:val="0"/>
        </w:numPr>
        <w:rPr>
          <w:rFonts w:hint="eastAsia"/>
          <w:b/>
          <w:bCs/>
          <w:sz w:val="24"/>
          <w:szCs w:val="24"/>
          <w:lang w:val="en-US" w:eastAsia="zh-CN"/>
        </w:rPr>
      </w:pPr>
      <w:r>
        <w:rPr>
          <w:rFonts w:hint="eastAsia"/>
          <w:b/>
          <w:bCs/>
          <w:sz w:val="24"/>
          <w:szCs w:val="24"/>
          <w:lang w:val="en-US" w:eastAsia="zh-CN"/>
        </w:rPr>
        <w:t>5.3 钢结构智能测量技术指标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（1）高精度三维控制网技术指标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相邻点平面相对点位中误差不超过 3mm，高程上相对高差中误差不超过 2mm；单点平面点位中误差不超过 5mm，高程中误差不超过 2mm。</w:t>
      </w:r>
    </w:p>
    <w:p>
      <w:pPr>
        <w:numPr>
          <w:ilvl w:val="0"/>
          <w:numId w:val="0"/>
        </w:numPr>
        <w:rPr>
          <w:rFonts w:hint="eastAsia"/>
          <w:b w:val="0"/>
          <w:bCs w:val="0"/>
          <w:sz w:val="24"/>
          <w:szCs w:val="24"/>
          <w:lang w:val="en-US" w:eastAsia="zh-CN"/>
        </w:rPr>
      </w:pPr>
      <w:r>
        <w:rPr>
          <w:rFonts w:hint="eastAsia"/>
          <w:b w:val="0"/>
          <w:bCs w:val="0"/>
          <w:sz w:val="24"/>
          <w:szCs w:val="24"/>
          <w:lang w:val="en-US" w:eastAsia="zh-CN"/>
        </w:rPr>
        <w:t>（2）钢结构拼装空间定位技术指标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拼装完成的单体构件即吊装单元，主控轴线长度偏差不超过 3mm，各特征点监测值与设计值（X、Y、Z 坐标值）偏差不超过 10mm。具有球结点的钢构件，检测球心坐标值（X、Y、Z 坐标值）偏差不超过 3mm。构件就位后各端口坐标（X、Y、Z 坐标值）偏差均不超过 10mm，且接口（共面、共线）错台不超过 2mm。</w:t>
      </w:r>
    </w:p>
    <w:p>
      <w:pPr>
        <w:numPr>
          <w:ilvl w:val="0"/>
          <w:numId w:val="0"/>
        </w:numPr>
        <w:rPr>
          <w:rFonts w:hint="eastAsia"/>
          <w:b w:val="0"/>
          <w:bCs w:val="0"/>
          <w:sz w:val="24"/>
          <w:szCs w:val="24"/>
          <w:lang w:val="en-US" w:eastAsia="zh-CN"/>
        </w:rPr>
      </w:pPr>
      <w:r>
        <w:rPr>
          <w:rFonts w:hint="eastAsia"/>
          <w:b w:val="0"/>
          <w:bCs w:val="0"/>
          <w:sz w:val="24"/>
          <w:szCs w:val="24"/>
          <w:lang w:val="en-US" w:eastAsia="zh-CN"/>
        </w:rPr>
        <w:t>（3）钢结构变形监测技术指标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所测量的三维坐标（X、Y、Z 坐标值）观测精度应达到允许变形值的 1/20～1/10。</w:t>
      </w:r>
    </w:p>
    <w:p>
      <w:pPr>
        <w:numPr>
          <w:ilvl w:val="0"/>
          <w:numId w:val="0"/>
        </w:numPr>
        <w:rPr>
          <w:rFonts w:hint="eastAsia"/>
          <w:b/>
          <w:bCs/>
          <w:sz w:val="24"/>
          <w:szCs w:val="24"/>
          <w:lang w:val="en-US" w:eastAsia="zh-CN"/>
        </w:rPr>
      </w:pPr>
      <w:r>
        <w:rPr>
          <w:rFonts w:hint="eastAsia"/>
          <w:b/>
          <w:bCs/>
          <w:sz w:val="24"/>
          <w:szCs w:val="24"/>
          <w:lang w:val="en-US" w:eastAsia="zh-CN"/>
        </w:rPr>
        <w:t>5.4 钢结构虚拟预拼装技术指标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预拼装模拟模型与理论模型比对取得的几何误差应满足《钢结构工程施工规范》GB50755 和</w:t>
      </w:r>
    </w:p>
    <w:p>
      <w:pPr>
        <w:numPr>
          <w:ilvl w:val="0"/>
          <w:numId w:val="0"/>
        </w:numPr>
        <w:rPr>
          <w:rFonts w:hint="eastAsia"/>
          <w:b w:val="0"/>
          <w:bCs w:val="0"/>
          <w:sz w:val="24"/>
          <w:szCs w:val="24"/>
          <w:lang w:val="en-US" w:eastAsia="zh-CN"/>
        </w:rPr>
      </w:pPr>
      <w:r>
        <w:rPr>
          <w:rFonts w:hint="eastAsia"/>
          <w:b w:val="0"/>
          <w:bCs w:val="0"/>
          <w:sz w:val="24"/>
          <w:szCs w:val="24"/>
          <w:lang w:val="en-US" w:eastAsia="zh-CN"/>
        </w:rPr>
        <w:t>《钢结构工程施工质量验收规范》GB50205 以及实际工程使用的特别需求。</w:t>
      </w:r>
    </w:p>
    <w:p>
      <w:pPr>
        <w:numPr>
          <w:ilvl w:val="0"/>
          <w:numId w:val="0"/>
        </w:numPr>
        <w:rPr>
          <w:rFonts w:hint="eastAsia"/>
          <w:b w:val="0"/>
          <w:bCs w:val="0"/>
          <w:sz w:val="24"/>
          <w:szCs w:val="24"/>
          <w:lang w:val="en-US" w:eastAsia="zh-CN"/>
        </w:rPr>
      </w:pPr>
      <w:r>
        <w:rPr>
          <w:rFonts w:hint="eastAsia"/>
          <w:b w:val="0"/>
          <w:bCs w:val="0"/>
          <w:sz w:val="24"/>
          <w:szCs w:val="24"/>
          <w:lang w:val="en-US" w:eastAsia="zh-CN"/>
        </w:rPr>
        <w:t>无特别需求情况下，结构构件预拼装主要允许偏差：</w:t>
      </w:r>
    </w:p>
    <w:p>
      <w:pPr>
        <w:numPr>
          <w:ilvl w:val="0"/>
          <w:numId w:val="0"/>
        </w:numPr>
        <w:rPr>
          <w:rFonts w:hint="eastAsia"/>
          <w:b w:val="0"/>
          <w:bCs w:val="0"/>
          <w:sz w:val="24"/>
          <w:szCs w:val="24"/>
          <w:lang w:val="en-US" w:eastAsia="zh-CN"/>
        </w:rPr>
      </w:pPr>
      <w:r>
        <w:rPr>
          <w:rFonts w:hint="eastAsia"/>
          <w:b w:val="0"/>
          <w:bCs w:val="0"/>
          <w:sz w:val="24"/>
          <w:szCs w:val="24"/>
          <w:lang w:val="en-US" w:eastAsia="zh-CN"/>
        </w:rPr>
        <w:t>预拼装单元总长 ±5.0 mm</w:t>
      </w:r>
    </w:p>
    <w:p>
      <w:pPr>
        <w:numPr>
          <w:ilvl w:val="0"/>
          <w:numId w:val="0"/>
        </w:numPr>
        <w:rPr>
          <w:rFonts w:hint="eastAsia"/>
          <w:b w:val="0"/>
          <w:bCs w:val="0"/>
          <w:sz w:val="24"/>
          <w:szCs w:val="24"/>
          <w:lang w:val="en-US" w:eastAsia="zh-CN"/>
        </w:rPr>
      </w:pPr>
      <w:r>
        <w:rPr>
          <w:rFonts w:hint="eastAsia"/>
          <w:b w:val="0"/>
          <w:bCs w:val="0"/>
          <w:sz w:val="24"/>
          <w:szCs w:val="24"/>
          <w:lang w:val="en-US" w:eastAsia="zh-CN"/>
        </w:rPr>
        <w:t>各楼层柱距 ±4.0 mm</w:t>
      </w:r>
    </w:p>
    <w:p>
      <w:pPr>
        <w:numPr>
          <w:ilvl w:val="0"/>
          <w:numId w:val="0"/>
        </w:numPr>
        <w:rPr>
          <w:rFonts w:hint="eastAsia"/>
          <w:b w:val="0"/>
          <w:bCs w:val="0"/>
          <w:sz w:val="24"/>
          <w:szCs w:val="24"/>
          <w:lang w:val="en-US" w:eastAsia="zh-CN"/>
        </w:rPr>
      </w:pPr>
      <w:r>
        <w:rPr>
          <w:rFonts w:hint="eastAsia"/>
          <w:b w:val="0"/>
          <w:bCs w:val="0"/>
          <w:sz w:val="24"/>
          <w:szCs w:val="24"/>
          <w:lang w:val="en-US" w:eastAsia="zh-CN"/>
        </w:rPr>
        <w:t>相邻楼层梁与梁之间距离 ±3.0 mm</w:t>
      </w:r>
    </w:p>
    <w:p>
      <w:pPr>
        <w:numPr>
          <w:ilvl w:val="0"/>
          <w:numId w:val="0"/>
        </w:numPr>
        <w:rPr>
          <w:rFonts w:hint="eastAsia"/>
          <w:b w:val="0"/>
          <w:bCs w:val="0"/>
          <w:sz w:val="24"/>
          <w:szCs w:val="24"/>
          <w:lang w:val="en-US" w:eastAsia="zh-CN"/>
        </w:rPr>
      </w:pPr>
      <w:r>
        <w:rPr>
          <w:rFonts w:hint="eastAsia"/>
          <w:b w:val="0"/>
          <w:bCs w:val="0"/>
          <w:sz w:val="24"/>
          <w:szCs w:val="24"/>
          <w:lang w:val="en-US" w:eastAsia="zh-CN"/>
        </w:rPr>
        <w:t>拱度（设计要求起拱） ±l/5000</w:t>
      </w:r>
    </w:p>
    <w:p>
      <w:pPr>
        <w:numPr>
          <w:ilvl w:val="0"/>
          <w:numId w:val="0"/>
        </w:numPr>
        <w:rPr>
          <w:rFonts w:hint="eastAsia"/>
          <w:b w:val="0"/>
          <w:bCs w:val="0"/>
          <w:sz w:val="24"/>
          <w:szCs w:val="24"/>
          <w:lang w:val="en-US" w:eastAsia="zh-CN"/>
        </w:rPr>
      </w:pPr>
      <w:r>
        <w:rPr>
          <w:rFonts w:hint="eastAsia"/>
          <w:b w:val="0"/>
          <w:bCs w:val="0"/>
          <w:sz w:val="24"/>
          <w:szCs w:val="24"/>
          <w:lang w:val="en-US" w:eastAsia="zh-CN"/>
        </w:rPr>
        <w:t>各层间框架两对角线之差 H/2000，且不应大于 5.0mm</w:t>
      </w:r>
    </w:p>
    <w:p>
      <w:pPr>
        <w:numPr>
          <w:ilvl w:val="0"/>
          <w:numId w:val="0"/>
        </w:numPr>
        <w:rPr>
          <w:rFonts w:hint="eastAsia"/>
          <w:b w:val="0"/>
          <w:bCs w:val="0"/>
          <w:sz w:val="24"/>
          <w:szCs w:val="24"/>
          <w:lang w:val="en-US" w:eastAsia="zh-CN"/>
        </w:rPr>
      </w:pPr>
      <w:r>
        <w:rPr>
          <w:rFonts w:hint="eastAsia"/>
          <w:b w:val="0"/>
          <w:bCs w:val="0"/>
          <w:sz w:val="24"/>
          <w:szCs w:val="24"/>
          <w:lang w:val="en-US" w:eastAsia="zh-CN"/>
        </w:rPr>
        <w:t>任意两对角线之差 ∑H/2000，且不应大于 8.0mm</w:t>
      </w:r>
    </w:p>
    <w:p>
      <w:pPr>
        <w:numPr>
          <w:ilvl w:val="0"/>
          <w:numId w:val="0"/>
        </w:numPr>
        <w:rPr>
          <w:rFonts w:hint="eastAsia"/>
          <w:b w:val="0"/>
          <w:bCs w:val="0"/>
          <w:sz w:val="24"/>
          <w:szCs w:val="24"/>
          <w:lang w:val="en-US" w:eastAsia="zh-CN"/>
        </w:rPr>
      </w:pPr>
      <w:r>
        <w:rPr>
          <w:rFonts w:hint="eastAsia"/>
          <w:b w:val="0"/>
          <w:bCs w:val="0"/>
          <w:sz w:val="24"/>
          <w:szCs w:val="24"/>
          <w:lang w:val="en-US" w:eastAsia="zh-CN"/>
        </w:rPr>
        <w:t>接口错边 2.0mm</w:t>
      </w:r>
    </w:p>
    <w:p>
      <w:pPr>
        <w:numPr>
          <w:ilvl w:val="0"/>
          <w:numId w:val="0"/>
        </w:numPr>
        <w:rPr>
          <w:rFonts w:hint="eastAsia"/>
          <w:b w:val="0"/>
          <w:bCs w:val="0"/>
          <w:sz w:val="24"/>
          <w:szCs w:val="24"/>
          <w:lang w:val="en-US" w:eastAsia="zh-CN"/>
        </w:rPr>
      </w:pPr>
      <w:r>
        <w:rPr>
          <w:rFonts w:hint="eastAsia"/>
          <w:b w:val="0"/>
          <w:bCs w:val="0"/>
          <w:sz w:val="24"/>
          <w:szCs w:val="24"/>
          <w:lang w:val="en-US" w:eastAsia="zh-CN"/>
        </w:rPr>
        <w:t>节点处杆件轴线错位 4.0mm</w:t>
      </w:r>
    </w:p>
    <w:p>
      <w:pPr>
        <w:numPr>
          <w:ilvl w:val="0"/>
          <w:numId w:val="0"/>
        </w:numPr>
        <w:rPr>
          <w:rFonts w:hint="eastAsia"/>
          <w:b/>
          <w:bCs/>
          <w:sz w:val="24"/>
          <w:szCs w:val="24"/>
          <w:lang w:val="en-US" w:eastAsia="zh-CN"/>
        </w:rPr>
      </w:pPr>
      <w:r>
        <w:rPr>
          <w:rFonts w:hint="eastAsia"/>
          <w:b/>
          <w:bCs/>
          <w:sz w:val="24"/>
          <w:szCs w:val="24"/>
          <w:lang w:val="en-US" w:eastAsia="zh-CN"/>
        </w:rPr>
        <w:t>5.5 钢结构高效焊接技术指标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焊接工艺参数须按《钢结构焊接规范》GB50661 要求，满足焊接工艺评定试验要求；承载静荷载结构焊缝和需疲劳验算结构的焊缝，须按《钢结构焊接规范》GB50661 分别进行焊缝外观质量检验和内部质量无损检测；焊缝超声波检测等级不低于 B 级，母材厚度超过 100mm 应进行双面双侧检验。</w:t>
      </w:r>
    </w:p>
    <w:p>
      <w:pPr>
        <w:numPr>
          <w:ilvl w:val="0"/>
          <w:numId w:val="0"/>
        </w:numPr>
        <w:rPr>
          <w:rFonts w:hint="eastAsia"/>
          <w:b/>
          <w:bCs/>
          <w:sz w:val="24"/>
          <w:szCs w:val="24"/>
          <w:lang w:val="en-US" w:eastAsia="zh-CN"/>
        </w:rPr>
      </w:pPr>
      <w:r>
        <w:rPr>
          <w:rFonts w:hint="eastAsia"/>
          <w:b/>
          <w:bCs/>
          <w:sz w:val="24"/>
          <w:szCs w:val="24"/>
          <w:lang w:val="en-US" w:eastAsia="zh-CN"/>
        </w:rPr>
        <w:t>5.6 钢结构滑移、顶（提）升施工技术指标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滑移牵引力计算，当钢与钢面滑动摩擦时，摩擦系数取 0.12～0.15；当滚动摩擦时，滚动轴处摩擦系数取 0.1；当不锈钢与四氟聚乙烯板之间的滑靴摩擦时，摩擦系数取 0.08。</w:t>
      </w:r>
    </w:p>
    <w:p>
      <w:pPr>
        <w:numPr>
          <w:ilvl w:val="0"/>
          <w:numId w:val="0"/>
        </w:numPr>
        <w:rPr>
          <w:rFonts w:hint="eastAsia"/>
          <w:b w:val="0"/>
          <w:bCs w:val="0"/>
          <w:sz w:val="24"/>
          <w:szCs w:val="24"/>
          <w:lang w:val="en-US" w:eastAsia="zh-CN"/>
        </w:rPr>
      </w:pPr>
      <w:r>
        <w:rPr>
          <w:rFonts w:hint="eastAsia"/>
          <w:b w:val="0"/>
          <w:bCs w:val="0"/>
          <w:sz w:val="24"/>
          <w:szCs w:val="24"/>
          <w:lang w:val="en-US" w:eastAsia="zh-CN"/>
        </w:rPr>
        <w:t>整体顶（提）升方案要作施工状态下结构整体受力性能验算，依据计算所得各顶（提）点的</w:t>
      </w:r>
    </w:p>
    <w:p>
      <w:pPr>
        <w:numPr>
          <w:ilvl w:val="0"/>
          <w:numId w:val="0"/>
        </w:numPr>
        <w:rPr>
          <w:rFonts w:hint="eastAsia"/>
          <w:b w:val="0"/>
          <w:bCs w:val="0"/>
          <w:sz w:val="24"/>
          <w:szCs w:val="24"/>
          <w:lang w:val="en-US" w:eastAsia="zh-CN"/>
        </w:rPr>
      </w:pPr>
      <w:r>
        <w:rPr>
          <w:rFonts w:hint="eastAsia"/>
          <w:b w:val="0"/>
          <w:bCs w:val="0"/>
          <w:sz w:val="24"/>
          <w:szCs w:val="24"/>
          <w:lang w:val="en-US" w:eastAsia="zh-CN"/>
        </w:rPr>
        <w:t>作用力配备千斤顶；提升用钢绞线安全系数：上拔式提升时，应大于 3.5；爬升式提升时，应大于5.5。正式提升前的试提升需悬停静置 12 小时以上并测量结构变形情况；相邻两提升点位移高差不超过 2cm。</w:t>
      </w:r>
    </w:p>
    <w:p>
      <w:pPr>
        <w:numPr>
          <w:ilvl w:val="0"/>
          <w:numId w:val="0"/>
        </w:numPr>
        <w:rPr>
          <w:rFonts w:hint="eastAsia"/>
          <w:b/>
          <w:bCs/>
          <w:sz w:val="24"/>
          <w:szCs w:val="24"/>
          <w:lang w:val="en-US" w:eastAsia="zh-CN"/>
        </w:rPr>
      </w:pPr>
      <w:r>
        <w:rPr>
          <w:rFonts w:hint="eastAsia"/>
          <w:b/>
          <w:bCs/>
          <w:sz w:val="24"/>
          <w:szCs w:val="24"/>
          <w:lang w:val="en-US" w:eastAsia="zh-CN"/>
        </w:rPr>
        <w:t>5.7 钢结构防腐防火技术指标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（1）防腐涂料涂装技术指标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防腐涂料中环境污染物的含量应符合《民用建筑工程室内环境污染控制规范》（GB 50325 的规定和要求。涂装之前钢材表面除锈等级应符合设计要求，设计无要求时应符合《涂覆涂料前钢材表面处理 表面清洁度的目视评定 第 1 部分：未涂覆过的钢材表面和全面清除原有涂层后的钢材表面的锈蚀等级和处理等级》（GB/T 8923.1）的规定评定等级。涂装施工环境的温度、湿度、基材温度要求，应根据产品使用说明确定，无明确要求的，宜按照环境温度 5～38℃，空气湿度小于 85%，基材表面温度高于露点 3℃以上的要求控制，雨、雪、雾、大风等恶劣天气严禁户外涂装。涂装遍数、涂层厚度应符合设计要求，当设计对涂层厚度无要求时，涂层干漆膜总厚度：室外应为 150μm，室内应为 125μm，允许偏差为-25μm。每遍涂层干膜厚度的允许偏差为-5μm。</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当钢结构处在有腐蚀介质或露天环境且设计有要求时，应进行涂层附着力测试，可按照现行国家标准《漆膜附着力测定法》（GB 1720）或《色漆和清漆漆膜的划格试验》（GB/T 9286）执行。在检测范围内，涂层完整程度达到 70%以上即为合格。</w:t>
      </w:r>
    </w:p>
    <w:p>
      <w:pPr>
        <w:numPr>
          <w:ilvl w:val="0"/>
          <w:numId w:val="0"/>
        </w:numPr>
        <w:rPr>
          <w:rFonts w:hint="eastAsia"/>
          <w:b w:val="0"/>
          <w:bCs w:val="0"/>
          <w:sz w:val="24"/>
          <w:szCs w:val="24"/>
          <w:lang w:val="en-US" w:eastAsia="zh-CN"/>
        </w:rPr>
      </w:pPr>
      <w:r>
        <w:rPr>
          <w:rFonts w:hint="eastAsia"/>
          <w:b w:val="0"/>
          <w:bCs w:val="0"/>
          <w:sz w:val="24"/>
          <w:szCs w:val="24"/>
          <w:lang w:val="en-US" w:eastAsia="zh-CN"/>
        </w:rPr>
        <w:t>（2）防火涂料涂装技术指标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钢结构防火材料的性能、涂层厚度及质量要求应符合《钢结构防火涂料通用技术条件》</w:t>
      </w:r>
    </w:p>
    <w:p>
      <w:pPr>
        <w:numPr>
          <w:ilvl w:val="0"/>
          <w:numId w:val="0"/>
        </w:numPr>
        <w:rPr>
          <w:rFonts w:hint="eastAsia"/>
          <w:b w:val="0"/>
          <w:bCs w:val="0"/>
          <w:sz w:val="24"/>
          <w:szCs w:val="24"/>
          <w:lang w:val="en-US" w:eastAsia="zh-CN"/>
        </w:rPr>
      </w:pPr>
      <w:r>
        <w:rPr>
          <w:rFonts w:hint="eastAsia"/>
          <w:b w:val="0"/>
          <w:bCs w:val="0"/>
          <w:sz w:val="24"/>
          <w:szCs w:val="24"/>
          <w:lang w:val="en-US" w:eastAsia="zh-CN"/>
        </w:rPr>
        <w:t>（GBl4907）和《钢结构防火涂料应用技术规程》（CECS24）的规定和设计要求，防火材料中环境污染物的含量应符合《民用建筑工程室内环境污染控制规范》（GB 50325）的规定和要求。</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结构防火涂料生产厂家必须有防火监督部门核发的生产许可证。防火涂料应通过国家检测机构检测合格。产品必须具有国家检测机构的耐火极限检测报告和理化性能检测报告，并应附有涂料品种、名称、技术性能、制造批量、贮存期限和使用说明书。在施工前应复验防火涂料的黏结强度和抗压强度。防火涂料施工过程中和涂层干燥固化前，环境温度宜保持在 5～38℃，相对湿度不宜大于 90%，空气应流通。当风速大于 5m/s，或雨天和构件表面有结露时，不宜作业。</w:t>
      </w:r>
    </w:p>
    <w:p>
      <w:pPr>
        <w:numPr>
          <w:ilvl w:val="0"/>
          <w:numId w:val="0"/>
        </w:numPr>
        <w:rPr>
          <w:rFonts w:hint="eastAsia"/>
          <w:b/>
          <w:bCs/>
          <w:sz w:val="24"/>
          <w:szCs w:val="24"/>
          <w:lang w:val="en-US" w:eastAsia="zh-CN"/>
        </w:rPr>
      </w:pPr>
      <w:r>
        <w:rPr>
          <w:rFonts w:hint="eastAsia"/>
          <w:b/>
          <w:bCs/>
          <w:sz w:val="24"/>
          <w:szCs w:val="24"/>
          <w:lang w:val="en-US" w:eastAsia="zh-CN"/>
        </w:rPr>
        <w:t>5.8 钢与混凝土组合结构应用技术指标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钢管混凝土构件的径厚比 D/t 宜为 20~135、套箍系数θ宜为 0.5~2.0、长径比不宜大于 20；矩形钢管混凝土受压构件的混凝土工作承担系数αc 应控制在 0.1~0.7；型钢混凝土框架柱的受力型钢的含钢率宜为 4%~10%。</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组合结构执行《型钢混凝土组合结构技术规程》JGJ 138、《钢管混凝土结构技术规范》GB50936、《钢-混凝土组合结构施工规范》GB50901、《钢管混凝土工程施工质量验收规范》GB50628。</w:t>
      </w:r>
    </w:p>
    <w:p>
      <w:pPr>
        <w:numPr>
          <w:ilvl w:val="0"/>
          <w:numId w:val="0"/>
        </w:numPr>
        <w:rPr>
          <w:rFonts w:hint="eastAsia"/>
          <w:b/>
          <w:bCs/>
          <w:sz w:val="24"/>
          <w:szCs w:val="24"/>
          <w:lang w:val="en-US" w:eastAsia="zh-CN"/>
        </w:rPr>
      </w:pPr>
      <w:r>
        <w:rPr>
          <w:rFonts w:hint="eastAsia"/>
          <w:b/>
          <w:bCs/>
          <w:sz w:val="24"/>
          <w:szCs w:val="24"/>
          <w:lang w:val="en-US" w:eastAsia="zh-CN"/>
        </w:rPr>
        <w:t>5.9 索结构应用技术指标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（1）拉索的技术指标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拉索采用高强度材料制作，作为主要受力构件，其索体的静载破断荷载一般不小于索体标准</w:t>
      </w:r>
    </w:p>
    <w:p>
      <w:pPr>
        <w:numPr>
          <w:ilvl w:val="0"/>
          <w:numId w:val="0"/>
        </w:numPr>
        <w:rPr>
          <w:rFonts w:hint="eastAsia"/>
          <w:b w:val="0"/>
          <w:bCs w:val="0"/>
          <w:sz w:val="24"/>
          <w:szCs w:val="24"/>
          <w:lang w:val="en-US" w:eastAsia="zh-CN"/>
        </w:rPr>
      </w:pPr>
      <w:r>
        <w:rPr>
          <w:rFonts w:hint="eastAsia"/>
          <w:b w:val="0"/>
          <w:bCs w:val="0"/>
          <w:sz w:val="24"/>
          <w:szCs w:val="24"/>
          <w:lang w:val="en-US" w:eastAsia="zh-CN"/>
        </w:rPr>
        <w:t>破断荷载的 95%，破断延伸率不小于 2%，拉索的的设计强度一般为 0.4～0.5 倍标准强度。当有疲劳要求时，拉索应按规定进行疲劳试验。此外不同用途的拉索还应分别满足《建筑工程用索》和《桥梁缆索用热镀锌钢丝》GB/T17101、《预应力混凝土用钢绞线》GB/T5224、《重要用途钢丝绳》GB8918 等相关标准。拉索采用的锚固装置应满足《预应力筋用锚具、夹具和连接器》GB/T14370及相关钢材料标准。</w:t>
      </w:r>
    </w:p>
    <w:p>
      <w:pPr>
        <w:numPr>
          <w:ilvl w:val="0"/>
          <w:numId w:val="0"/>
        </w:numPr>
        <w:rPr>
          <w:rFonts w:hint="eastAsia"/>
          <w:b w:val="0"/>
          <w:bCs w:val="0"/>
          <w:sz w:val="24"/>
          <w:szCs w:val="24"/>
          <w:lang w:val="en-US" w:eastAsia="zh-CN"/>
        </w:rPr>
      </w:pPr>
      <w:r>
        <w:rPr>
          <w:rFonts w:hint="eastAsia"/>
          <w:b w:val="0"/>
          <w:bCs w:val="0"/>
          <w:sz w:val="24"/>
          <w:szCs w:val="24"/>
          <w:lang w:val="en-US" w:eastAsia="zh-CN"/>
        </w:rPr>
        <w:t>（2）设计技术指标80</w:t>
      </w:r>
    </w:p>
    <w:p>
      <w:pPr>
        <w:numPr>
          <w:ilvl w:val="0"/>
          <w:numId w:val="0"/>
        </w:numPr>
        <w:rPr>
          <w:rFonts w:hint="eastAsia"/>
          <w:b w:val="0"/>
          <w:bCs w:val="0"/>
          <w:sz w:val="24"/>
          <w:szCs w:val="24"/>
          <w:lang w:val="en-US" w:eastAsia="zh-CN"/>
        </w:rPr>
      </w:pPr>
      <w:r>
        <w:rPr>
          <w:rFonts w:hint="eastAsia"/>
          <w:b w:val="0"/>
          <w:bCs w:val="0"/>
          <w:sz w:val="24"/>
          <w:szCs w:val="24"/>
          <w:lang w:val="en-US" w:eastAsia="zh-CN"/>
        </w:rPr>
        <w:t>索结构的选型应根据使用要求和预应力分布特点，采用找形方法确定。不同的索结构具有不</w:t>
      </w:r>
    </w:p>
    <w:p>
      <w:pPr>
        <w:numPr>
          <w:ilvl w:val="0"/>
          <w:numId w:val="0"/>
        </w:numPr>
        <w:rPr>
          <w:rFonts w:hint="eastAsia"/>
          <w:b w:val="0"/>
          <w:bCs w:val="0"/>
          <w:sz w:val="24"/>
          <w:szCs w:val="24"/>
          <w:lang w:val="en-US" w:eastAsia="zh-CN"/>
        </w:rPr>
      </w:pPr>
      <w:r>
        <w:rPr>
          <w:rFonts w:hint="eastAsia"/>
          <w:b w:val="0"/>
          <w:bCs w:val="0"/>
          <w:sz w:val="24"/>
          <w:szCs w:val="24"/>
          <w:lang w:val="en-US" w:eastAsia="zh-CN"/>
        </w:rPr>
        <w:t>同的造型设计技术指标。一般情况下柔性索网结构的拉索垂度和跨度比值为 1/10~1/20，受拉内环和受压外环的直径比值约为 1/5~1/20，杂交索系结构的矢高和跨度比值约为 1/8~1/12。</w:t>
      </w:r>
    </w:p>
    <w:p>
      <w:pPr>
        <w:numPr>
          <w:ilvl w:val="0"/>
          <w:numId w:val="0"/>
        </w:numPr>
        <w:rPr>
          <w:rFonts w:hint="eastAsia"/>
          <w:b/>
          <w:bCs/>
          <w:sz w:val="24"/>
          <w:szCs w:val="24"/>
          <w:lang w:val="en-US" w:eastAsia="zh-CN"/>
        </w:rPr>
      </w:pPr>
      <w:r>
        <w:rPr>
          <w:rFonts w:hint="eastAsia"/>
          <w:b/>
          <w:bCs/>
          <w:sz w:val="24"/>
          <w:szCs w:val="24"/>
          <w:lang w:val="en-US" w:eastAsia="zh-CN"/>
        </w:rPr>
        <w:t>5.10 钢结构住宅应用技术指标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钢结构住宅结构设计应符合工厂生产、现场装配的工业化生产要求，构件及节点设计宜标准化、通用化、系列化，在结构设计中应合理确定建筑结构体的装配率。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钢材性能应符合现行国家标准《钢结构设计规范》GB50017 和《建筑抗震设计规范》GB50009的规定，可优先选用高性能钢材。</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钢结构住宅应遵循现行国家标准《装配式钢结构建筑技术标准》GB/T 51232 进行设计，按现行国家标准《建筑工程抗震设防分类标准》GB50223 的规定确定其抗震设防类别，并应按现行国家标准《建筑抗震设计规范》GB50011 进行抗震设计。结构高度大于 80m 的建筑宜验算风荷载的舒适性。</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钢结构住宅的防火等级应按现行国家标准《建筑设计防火规范》GB 50016 确定，防火材料宜优先选用防火板，板厚应根据耐火时限和防火板产品标准确定，承重的钢构件耐火时限应满足相关要求。</w:t>
      </w:r>
    </w:p>
    <w:p>
      <w:pPr>
        <w:numPr>
          <w:numId w:val="0"/>
        </w:numPr>
        <w:ind w:leftChars="0"/>
        <w:rPr>
          <w:rFonts w:hint="eastAsia"/>
          <w:b/>
          <w:bCs/>
          <w:sz w:val="32"/>
          <w:szCs w:val="32"/>
          <w:lang w:val="en-US" w:eastAsia="zh-CN"/>
        </w:rPr>
      </w:pPr>
      <w:r>
        <w:rPr>
          <w:rFonts w:hint="eastAsia"/>
          <w:b/>
          <w:bCs/>
          <w:sz w:val="32"/>
          <w:szCs w:val="32"/>
          <w:lang w:val="en-US" w:eastAsia="zh-CN"/>
        </w:rPr>
        <w:t>六．机电安装工程技术</w:t>
      </w:r>
    </w:p>
    <w:p>
      <w:pPr>
        <w:numPr>
          <w:ilvl w:val="0"/>
          <w:numId w:val="0"/>
        </w:numPr>
        <w:ind w:leftChars="0"/>
        <w:rPr>
          <w:rFonts w:hint="eastAsia"/>
          <w:b/>
          <w:bCs/>
          <w:sz w:val="24"/>
          <w:szCs w:val="24"/>
          <w:lang w:val="en-US" w:eastAsia="zh-CN"/>
        </w:rPr>
      </w:pPr>
      <w:r>
        <w:rPr>
          <w:rFonts w:hint="eastAsia"/>
          <w:b/>
          <w:bCs/>
          <w:sz w:val="24"/>
          <w:szCs w:val="24"/>
          <w:lang w:val="en-US" w:eastAsia="zh-CN"/>
        </w:rPr>
        <w:t>6.1 基于 BIM 的管线综合技术指标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综合管线布置与施工技术应符合《建筑给水排水设计规范》 GB50015、《采暖通风与空气调节设计规范》GB50019、《民用建筑电气设计规范》 JGJ16、《建筑通风和排烟系统用防火阀门》GB15930、自动喷水灭火系统设计规范 GB50084、《建筑给水及采暖工程施工质量验收规范》GB50242、《通风与空调工程施工质量验收规范》GB 50243、《电气装置安装工程低压电器施工及验收规范》GB 50254、《给水排水管道工程施工及验收规范》GB 50268、《智能建筑工程施工规范》GB 50606、《消防给水及消火栓系统技术规范》GB50974、《综合布线工程设计规范》GB50311。</w:t>
      </w:r>
    </w:p>
    <w:p>
      <w:pPr>
        <w:numPr>
          <w:ilvl w:val="0"/>
          <w:numId w:val="0"/>
        </w:numPr>
        <w:rPr>
          <w:rFonts w:hint="eastAsia"/>
          <w:b/>
          <w:bCs/>
          <w:sz w:val="24"/>
          <w:szCs w:val="24"/>
          <w:lang w:val="en-US" w:eastAsia="zh-CN"/>
        </w:rPr>
      </w:pPr>
      <w:r>
        <w:rPr>
          <w:rFonts w:hint="eastAsia"/>
          <w:b/>
          <w:bCs/>
          <w:sz w:val="24"/>
          <w:szCs w:val="24"/>
          <w:lang w:val="en-US" w:eastAsia="zh-CN"/>
        </w:rPr>
        <w:t>6.2 导线连接器应用技术指标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《建筑电气工程施工质量验收规范》GB50303、《建筑电气细导线连接器应用技术规程》</w:t>
      </w:r>
    </w:p>
    <w:p>
      <w:pPr>
        <w:numPr>
          <w:ilvl w:val="0"/>
          <w:numId w:val="0"/>
        </w:numPr>
        <w:rPr>
          <w:rFonts w:hint="eastAsia"/>
          <w:b w:val="0"/>
          <w:bCs w:val="0"/>
          <w:sz w:val="24"/>
          <w:szCs w:val="24"/>
          <w:lang w:val="en-US" w:eastAsia="zh-CN"/>
        </w:rPr>
      </w:pPr>
      <w:r>
        <w:rPr>
          <w:rFonts w:hint="eastAsia"/>
          <w:b w:val="0"/>
          <w:bCs w:val="0"/>
          <w:sz w:val="24"/>
          <w:szCs w:val="24"/>
          <w:lang w:val="en-US" w:eastAsia="zh-CN"/>
        </w:rPr>
        <w:t>CECS421、《低压电气装置》（第 5 部分：电气设备的选择和安装第 52 章布线系统）GB16895.6、</w:t>
      </w:r>
    </w:p>
    <w:p>
      <w:pPr>
        <w:numPr>
          <w:ilvl w:val="0"/>
          <w:numId w:val="0"/>
        </w:numPr>
        <w:rPr>
          <w:rFonts w:hint="eastAsia"/>
          <w:b w:val="0"/>
          <w:bCs w:val="0"/>
          <w:sz w:val="24"/>
          <w:szCs w:val="24"/>
          <w:lang w:val="en-US" w:eastAsia="zh-CN"/>
        </w:rPr>
      </w:pPr>
      <w:r>
        <w:rPr>
          <w:rFonts w:hint="eastAsia"/>
          <w:b w:val="0"/>
          <w:bCs w:val="0"/>
          <w:sz w:val="24"/>
          <w:szCs w:val="24"/>
          <w:lang w:val="en-US" w:eastAsia="zh-CN"/>
        </w:rPr>
        <w:t>《家用及类似用途低压电路用的连接器件》GB13140。</w:t>
      </w:r>
    </w:p>
    <w:p>
      <w:pPr>
        <w:numPr>
          <w:ilvl w:val="0"/>
          <w:numId w:val="0"/>
        </w:numPr>
        <w:rPr>
          <w:rFonts w:hint="eastAsia"/>
          <w:b/>
          <w:bCs/>
          <w:sz w:val="24"/>
          <w:szCs w:val="24"/>
          <w:lang w:val="en-US" w:eastAsia="zh-CN"/>
        </w:rPr>
      </w:pPr>
      <w:r>
        <w:rPr>
          <w:rFonts w:hint="eastAsia"/>
          <w:b/>
          <w:bCs/>
          <w:sz w:val="24"/>
          <w:szCs w:val="24"/>
          <w:lang w:val="en-US" w:eastAsia="zh-CN"/>
        </w:rPr>
        <w:t>6.3 可弯曲金属导管安装技术指标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（1）主要性能</w:t>
      </w:r>
    </w:p>
    <w:p>
      <w:pPr>
        <w:numPr>
          <w:ilvl w:val="0"/>
          <w:numId w:val="0"/>
        </w:numPr>
        <w:rPr>
          <w:rFonts w:hint="eastAsia"/>
          <w:b w:val="0"/>
          <w:bCs w:val="0"/>
          <w:sz w:val="24"/>
          <w:szCs w:val="24"/>
          <w:lang w:val="en-US" w:eastAsia="zh-CN"/>
        </w:rPr>
      </w:pPr>
      <w:r>
        <w:rPr>
          <w:rFonts w:hint="eastAsia"/>
          <w:b w:val="0"/>
          <w:bCs w:val="0"/>
          <w:sz w:val="24"/>
          <w:szCs w:val="24"/>
          <w:lang w:val="en-US" w:eastAsia="zh-CN"/>
        </w:rPr>
        <w:t>1）电气性能：导管两点间过渡电阻小于 0.05Ω标准值；</w:t>
      </w:r>
    </w:p>
    <w:p>
      <w:pPr>
        <w:numPr>
          <w:ilvl w:val="0"/>
          <w:numId w:val="0"/>
        </w:numPr>
        <w:rPr>
          <w:rFonts w:hint="eastAsia"/>
          <w:b w:val="0"/>
          <w:bCs w:val="0"/>
          <w:sz w:val="24"/>
          <w:szCs w:val="24"/>
          <w:lang w:val="en-US" w:eastAsia="zh-CN"/>
        </w:rPr>
      </w:pPr>
      <w:r>
        <w:rPr>
          <w:rFonts w:hint="eastAsia"/>
          <w:b w:val="0"/>
          <w:bCs w:val="0"/>
          <w:sz w:val="24"/>
          <w:szCs w:val="24"/>
          <w:lang w:val="en-US" w:eastAsia="zh-CN"/>
        </w:rPr>
        <w:t>2）抗压性能：1250N 压力下扁平率小于 25%，可达到《电缆管理用导管系统第 1 部分：通用要求》 GB/T 2004 1.1 分类代码 4 重型标准要求；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3）拉伸性能：1000N 拉伸荷重下，重叠处不开口（或保护层无破损），可达到《电缆管理用</w:t>
      </w:r>
    </w:p>
    <w:p>
      <w:pPr>
        <w:numPr>
          <w:ilvl w:val="0"/>
          <w:numId w:val="0"/>
        </w:numPr>
        <w:rPr>
          <w:rFonts w:hint="eastAsia"/>
          <w:b w:val="0"/>
          <w:bCs w:val="0"/>
          <w:sz w:val="24"/>
          <w:szCs w:val="24"/>
          <w:lang w:val="en-US" w:eastAsia="zh-CN"/>
        </w:rPr>
      </w:pPr>
      <w:r>
        <w:rPr>
          <w:rFonts w:hint="eastAsia"/>
          <w:b w:val="0"/>
          <w:bCs w:val="0"/>
          <w:sz w:val="24"/>
          <w:szCs w:val="24"/>
          <w:lang w:val="en-US" w:eastAsia="zh-CN"/>
        </w:rPr>
        <w:t>导管系统第 1 部分：通用要求》 GB/T 2004 1.1 分类代码 4 重型标准要求；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4）耐腐蚀性：浸没在 1.186kg/L 的硫酸铜溶液，可达到《电缆管理用导管系统第 1 部分：通用要求》GB/T2004 1.1 的分类代码 4 内外均高标准要求；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5）绝缘性能：导管内壁绝缘电阻值，不低于 50MΩ。</w:t>
      </w:r>
    </w:p>
    <w:p>
      <w:pPr>
        <w:numPr>
          <w:ilvl w:val="0"/>
          <w:numId w:val="0"/>
        </w:numPr>
        <w:rPr>
          <w:rFonts w:hint="eastAsia"/>
          <w:b w:val="0"/>
          <w:bCs w:val="0"/>
          <w:sz w:val="24"/>
          <w:szCs w:val="24"/>
          <w:lang w:val="en-US" w:eastAsia="zh-CN"/>
        </w:rPr>
      </w:pPr>
      <w:r>
        <w:rPr>
          <w:rFonts w:hint="eastAsia"/>
          <w:b w:val="0"/>
          <w:bCs w:val="0"/>
          <w:sz w:val="24"/>
          <w:szCs w:val="24"/>
          <w:lang w:val="en-US" w:eastAsia="zh-CN"/>
        </w:rPr>
        <w:t>（2）技术规范/标准</w:t>
      </w:r>
    </w:p>
    <w:p>
      <w:pPr>
        <w:numPr>
          <w:ilvl w:val="0"/>
          <w:numId w:val="0"/>
        </w:numPr>
        <w:rPr>
          <w:rFonts w:hint="eastAsia"/>
          <w:b w:val="0"/>
          <w:bCs w:val="0"/>
          <w:sz w:val="24"/>
          <w:szCs w:val="24"/>
          <w:lang w:val="en-US" w:eastAsia="zh-CN"/>
        </w:rPr>
      </w:pPr>
      <w:r>
        <w:rPr>
          <w:rFonts w:hint="eastAsia"/>
          <w:b w:val="0"/>
          <w:bCs w:val="0"/>
          <w:sz w:val="24"/>
          <w:szCs w:val="24"/>
          <w:lang w:val="en-US" w:eastAsia="zh-CN"/>
        </w:rPr>
        <w:t>《可挠金属电线保护套管》JG/T 3053 、《电缆管理用导管系统第 1 部分：通用要求》 GB/T</w:t>
      </w:r>
    </w:p>
    <w:p>
      <w:pPr>
        <w:numPr>
          <w:ilvl w:val="0"/>
          <w:numId w:val="0"/>
        </w:numPr>
        <w:rPr>
          <w:rFonts w:hint="eastAsia"/>
          <w:b w:val="0"/>
          <w:bCs w:val="0"/>
          <w:sz w:val="24"/>
          <w:szCs w:val="24"/>
          <w:lang w:val="en-US" w:eastAsia="zh-CN"/>
        </w:rPr>
      </w:pPr>
      <w:r>
        <w:rPr>
          <w:rFonts w:hint="eastAsia"/>
          <w:b w:val="0"/>
          <w:bCs w:val="0"/>
          <w:sz w:val="24"/>
          <w:szCs w:val="24"/>
          <w:lang w:val="en-US" w:eastAsia="zh-CN"/>
        </w:rPr>
        <w:t>2004 1.1 、《电缆管理用导管系统第 22 部分：可弯曲导管系统的特殊要求》GB 2004 1.22 、《可挠金属电线保护管配线工程技术规范》CECS87 、《民用建筑电气设计规范》JGJ16 、《1KV 及以下配线工程施工与验收规范》GB 50575 、《低压配电设计规范》GB 50054 、《火灾自动报警系统》GB 50116 和《建筑电气工程施工质量验收规范》GB 50303 。</w:t>
      </w:r>
    </w:p>
    <w:p>
      <w:pPr>
        <w:numPr>
          <w:ilvl w:val="0"/>
          <w:numId w:val="0"/>
        </w:numPr>
        <w:rPr>
          <w:rFonts w:hint="eastAsia"/>
          <w:b/>
          <w:bCs/>
          <w:sz w:val="24"/>
          <w:szCs w:val="24"/>
          <w:lang w:val="en-US" w:eastAsia="zh-CN"/>
        </w:rPr>
      </w:pPr>
      <w:r>
        <w:rPr>
          <w:rFonts w:hint="eastAsia"/>
          <w:b/>
          <w:bCs/>
          <w:sz w:val="24"/>
          <w:szCs w:val="24"/>
          <w:lang w:val="en-US" w:eastAsia="zh-CN"/>
        </w:rPr>
        <w:t>6.4 工业化成品支吊架技术指标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国家建筑标准设计图集《室内管道支架和吊架》03S402、《金属、非金属风管支吊架》08K132、</w:t>
      </w:r>
    </w:p>
    <w:p>
      <w:pPr>
        <w:numPr>
          <w:ilvl w:val="0"/>
          <w:numId w:val="0"/>
        </w:numPr>
        <w:rPr>
          <w:rFonts w:hint="eastAsia"/>
          <w:b w:val="0"/>
          <w:bCs w:val="0"/>
          <w:sz w:val="24"/>
          <w:szCs w:val="24"/>
          <w:lang w:val="en-US" w:eastAsia="zh-CN"/>
        </w:rPr>
      </w:pPr>
      <w:r>
        <w:rPr>
          <w:rFonts w:hint="eastAsia"/>
          <w:b w:val="0"/>
          <w:bCs w:val="0"/>
          <w:sz w:val="24"/>
          <w:szCs w:val="24"/>
          <w:lang w:val="en-US" w:eastAsia="zh-CN"/>
        </w:rPr>
        <w:t>《电缆桥架安装》04D701-3、《装配式室内管道支吊架的选用与安装》16CK208（参考图集）。</w:t>
      </w:r>
    </w:p>
    <w:p>
      <w:pPr>
        <w:numPr>
          <w:ilvl w:val="0"/>
          <w:numId w:val="0"/>
        </w:numPr>
        <w:rPr>
          <w:rFonts w:hint="eastAsia"/>
          <w:b w:val="0"/>
          <w:bCs w:val="0"/>
          <w:sz w:val="24"/>
          <w:szCs w:val="24"/>
          <w:lang w:val="en-US" w:eastAsia="zh-CN"/>
        </w:rPr>
      </w:pPr>
      <w:r>
        <w:rPr>
          <w:rFonts w:hint="eastAsia"/>
          <w:b w:val="0"/>
          <w:bCs w:val="0"/>
          <w:sz w:val="24"/>
          <w:szCs w:val="24"/>
          <w:lang w:val="en-US" w:eastAsia="zh-CN"/>
        </w:rPr>
        <w:t>其他应符合《管道支吊架》GB/T17116、《建筑机电抗震设计规范》GB50981 的相关要求。</w:t>
      </w:r>
    </w:p>
    <w:p>
      <w:pPr>
        <w:numPr>
          <w:ilvl w:val="0"/>
          <w:numId w:val="0"/>
        </w:numPr>
        <w:rPr>
          <w:rFonts w:hint="eastAsia"/>
          <w:b/>
          <w:bCs/>
          <w:sz w:val="24"/>
          <w:szCs w:val="24"/>
          <w:lang w:val="en-US" w:eastAsia="zh-CN"/>
        </w:rPr>
      </w:pPr>
      <w:r>
        <w:rPr>
          <w:rFonts w:hint="eastAsia"/>
          <w:b/>
          <w:bCs/>
          <w:sz w:val="24"/>
          <w:szCs w:val="24"/>
          <w:lang w:val="en-US" w:eastAsia="zh-CN"/>
        </w:rPr>
        <w:t>6.5 机电管线及设备工厂化预制技术指标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（1）将建筑机电产品现场制作安装工作前移，实现工厂加工与现场施工平行作业，减少施工现场时间和空间的占用；</w:t>
      </w:r>
    </w:p>
    <w:p>
      <w:pPr>
        <w:numPr>
          <w:ilvl w:val="0"/>
          <w:numId w:val="0"/>
        </w:numPr>
        <w:rPr>
          <w:rFonts w:hint="eastAsia"/>
          <w:b w:val="0"/>
          <w:bCs w:val="0"/>
          <w:sz w:val="24"/>
          <w:szCs w:val="24"/>
          <w:lang w:val="en-US" w:eastAsia="zh-CN"/>
        </w:rPr>
      </w:pPr>
      <w:r>
        <w:rPr>
          <w:rFonts w:hint="eastAsia"/>
          <w:b w:val="0"/>
          <w:bCs w:val="0"/>
          <w:sz w:val="24"/>
          <w:szCs w:val="24"/>
          <w:lang w:val="en-US" w:eastAsia="zh-CN"/>
        </w:rPr>
        <w:t>（2）模块适用尺寸：公路运输控制在 3100mm×3800mm×18000mm 以内；船运控制在尺寸6000mm×5000mm×50000mm 以内。若模块在港口附近安装，无运输障碍，模块尺寸可根据具体实际情况进一步加大；</w:t>
      </w:r>
    </w:p>
    <w:p>
      <w:pPr>
        <w:numPr>
          <w:ilvl w:val="0"/>
          <w:numId w:val="0"/>
        </w:numPr>
        <w:rPr>
          <w:rFonts w:hint="eastAsia"/>
          <w:b w:val="0"/>
          <w:bCs w:val="0"/>
          <w:sz w:val="24"/>
          <w:szCs w:val="24"/>
          <w:lang w:val="en-US" w:eastAsia="zh-CN"/>
        </w:rPr>
      </w:pPr>
      <w:r>
        <w:rPr>
          <w:rFonts w:hint="eastAsia"/>
          <w:b w:val="0"/>
          <w:bCs w:val="0"/>
          <w:sz w:val="24"/>
          <w:szCs w:val="24"/>
          <w:lang w:val="en-US" w:eastAsia="zh-CN"/>
        </w:rPr>
        <w:t>（3）模块重量要求：公路运输一般控制在 40t 以内，模块重量也应根据施工现场起重设备的具体实际情况有所调整。</w:t>
      </w:r>
    </w:p>
    <w:p>
      <w:pPr>
        <w:numPr>
          <w:ilvl w:val="0"/>
          <w:numId w:val="0"/>
        </w:numPr>
        <w:rPr>
          <w:rFonts w:hint="eastAsia"/>
          <w:b/>
          <w:bCs/>
          <w:sz w:val="24"/>
          <w:szCs w:val="24"/>
          <w:lang w:val="en-US" w:eastAsia="zh-CN"/>
        </w:rPr>
      </w:pPr>
      <w:r>
        <w:rPr>
          <w:rFonts w:hint="eastAsia"/>
          <w:b/>
          <w:bCs/>
          <w:sz w:val="24"/>
          <w:szCs w:val="24"/>
          <w:lang w:val="en-US" w:eastAsia="zh-CN"/>
        </w:rPr>
        <w:t>6.6 薄壁金属管道新型连接安装施工技术</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应按设计要求的标准执行，无设计要求时，按《建筑给水排水及采暖工程施工质量验收规范》GB50242、《建筑铜管管道工程连接技术规程》CECS228 和《薄壁不锈钢管道技术规范》GB/T29038执行。</w:t>
      </w:r>
    </w:p>
    <w:p>
      <w:pPr>
        <w:numPr>
          <w:ilvl w:val="0"/>
          <w:numId w:val="0"/>
        </w:numPr>
        <w:rPr>
          <w:rFonts w:hint="eastAsia"/>
          <w:b/>
          <w:bCs/>
          <w:sz w:val="24"/>
          <w:szCs w:val="24"/>
          <w:lang w:val="en-US" w:eastAsia="zh-CN"/>
        </w:rPr>
      </w:pPr>
      <w:r>
        <w:rPr>
          <w:rFonts w:hint="eastAsia"/>
          <w:b/>
          <w:bCs/>
          <w:sz w:val="24"/>
          <w:szCs w:val="24"/>
          <w:lang w:val="en-US" w:eastAsia="zh-CN"/>
        </w:rPr>
        <w:t>6.7 内保温金属风管施工技术指标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1）风管系统强度及严密性指标，应满足《通风与空调工程施工质量验收规范》GB50243 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2）风管系统保温及耐火性能指标，应分别满足《通风与空调工程施工质量验收规范》GB50243</w:t>
      </w:r>
    </w:p>
    <w:p>
      <w:pPr>
        <w:numPr>
          <w:ilvl w:val="0"/>
          <w:numId w:val="0"/>
        </w:numPr>
        <w:rPr>
          <w:rFonts w:hint="eastAsia"/>
          <w:b w:val="0"/>
          <w:bCs w:val="0"/>
          <w:sz w:val="24"/>
          <w:szCs w:val="24"/>
          <w:lang w:val="en-US" w:eastAsia="zh-CN"/>
        </w:rPr>
      </w:pPr>
      <w:r>
        <w:rPr>
          <w:rFonts w:hint="eastAsia"/>
          <w:b w:val="0"/>
          <w:bCs w:val="0"/>
          <w:sz w:val="24"/>
          <w:szCs w:val="24"/>
          <w:lang w:val="en-US" w:eastAsia="zh-CN"/>
        </w:rPr>
        <w:t>和《通风管道技术规程》JGJ141 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3）内保温风管金属风管的制作与安装，可参考国家建筑标准设计图集《非金属风管制作与安装》15K114 的相关规定；</w:t>
      </w:r>
    </w:p>
    <w:p>
      <w:pPr>
        <w:numPr>
          <w:ilvl w:val="0"/>
          <w:numId w:val="0"/>
        </w:numPr>
        <w:rPr>
          <w:rFonts w:hint="eastAsia"/>
          <w:b w:val="0"/>
          <w:bCs w:val="0"/>
          <w:sz w:val="24"/>
          <w:szCs w:val="24"/>
          <w:lang w:val="en-US" w:eastAsia="zh-CN"/>
        </w:rPr>
      </w:pPr>
      <w:r>
        <w:rPr>
          <w:rFonts w:hint="eastAsia"/>
          <w:b w:val="0"/>
          <w:bCs w:val="0"/>
          <w:sz w:val="24"/>
          <w:szCs w:val="24"/>
          <w:lang w:val="en-US" w:eastAsia="zh-CN"/>
        </w:rPr>
        <w:t>4）内衬保温棉及其表面涂层，应当采用不燃材料，采用的粘结剂应为环保无毒型。</w:t>
      </w:r>
    </w:p>
    <w:p>
      <w:pPr>
        <w:numPr>
          <w:ilvl w:val="0"/>
          <w:numId w:val="0"/>
        </w:numPr>
        <w:rPr>
          <w:rFonts w:hint="eastAsia"/>
          <w:b/>
          <w:bCs/>
          <w:sz w:val="24"/>
          <w:szCs w:val="24"/>
          <w:lang w:val="en-US" w:eastAsia="zh-CN"/>
        </w:rPr>
      </w:pPr>
      <w:r>
        <w:rPr>
          <w:rFonts w:hint="eastAsia"/>
          <w:b/>
          <w:bCs/>
          <w:sz w:val="24"/>
          <w:szCs w:val="24"/>
          <w:lang w:val="en-US" w:eastAsia="zh-CN"/>
        </w:rPr>
        <w:t>6.8 金属风管预制安装施工技术指标</w:t>
      </w:r>
    </w:p>
    <w:p>
      <w:pPr>
        <w:numPr>
          <w:ilvl w:val="0"/>
          <w:numId w:val="0"/>
        </w:numPr>
        <w:ind w:firstLine="241" w:firstLineChars="100"/>
        <w:rPr>
          <w:rFonts w:hint="eastAsia"/>
          <w:b/>
          <w:bCs/>
          <w:sz w:val="24"/>
          <w:szCs w:val="24"/>
          <w:lang w:val="en-US" w:eastAsia="zh-CN"/>
        </w:rPr>
      </w:pPr>
      <w:r>
        <w:rPr>
          <w:rFonts w:hint="eastAsia"/>
          <w:b/>
          <w:bCs/>
          <w:sz w:val="24"/>
          <w:szCs w:val="24"/>
          <w:lang w:val="en-US" w:eastAsia="zh-CN"/>
        </w:rPr>
        <w:t>6.8.1 金属矩形风管薄钢板法兰连接技术指标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应符合《通风与空调工程施工质量验收规范》GB50243、《通风与空调工程施工规范》GB50738、94《通风管道技术规程》JGJ141 相关规定。</w:t>
      </w:r>
    </w:p>
    <w:p>
      <w:pPr>
        <w:numPr>
          <w:ilvl w:val="0"/>
          <w:numId w:val="0"/>
        </w:numPr>
        <w:ind w:firstLine="241" w:firstLineChars="100"/>
        <w:rPr>
          <w:rFonts w:hint="eastAsia"/>
          <w:b/>
          <w:bCs/>
          <w:sz w:val="24"/>
          <w:szCs w:val="24"/>
          <w:lang w:val="en-US" w:eastAsia="zh-CN"/>
        </w:rPr>
      </w:pPr>
      <w:r>
        <w:rPr>
          <w:rFonts w:hint="eastAsia"/>
          <w:b/>
          <w:bCs/>
          <w:sz w:val="24"/>
          <w:szCs w:val="24"/>
          <w:lang w:val="en-US" w:eastAsia="zh-CN"/>
        </w:rPr>
        <w:t>6.8.2 金属圆形螺旋风管制安技术指标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应符合《通风与空调工程施工质量验收规范》GB50243、《通风与空调工程施工规范》GB50738、《通风管道技术规程》JGJ141 相关规定。</w:t>
      </w:r>
    </w:p>
    <w:p>
      <w:pPr>
        <w:numPr>
          <w:ilvl w:val="0"/>
          <w:numId w:val="0"/>
        </w:numPr>
        <w:rPr>
          <w:rFonts w:hint="eastAsia"/>
          <w:b/>
          <w:bCs/>
          <w:sz w:val="24"/>
          <w:szCs w:val="24"/>
          <w:lang w:val="en-US" w:eastAsia="zh-CN"/>
        </w:rPr>
      </w:pPr>
      <w:r>
        <w:rPr>
          <w:rFonts w:hint="eastAsia"/>
          <w:b/>
          <w:bCs/>
          <w:sz w:val="24"/>
          <w:szCs w:val="24"/>
          <w:lang w:val="en-US" w:eastAsia="zh-CN"/>
        </w:rPr>
        <w:t>6.9 超高层垂直高压电缆敷设技术指标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（1）应符合下列标准规范的相关规定：</w:t>
      </w:r>
    </w:p>
    <w:p>
      <w:pPr>
        <w:numPr>
          <w:ilvl w:val="0"/>
          <w:numId w:val="0"/>
        </w:numPr>
        <w:rPr>
          <w:rFonts w:hint="eastAsia"/>
          <w:b w:val="0"/>
          <w:bCs w:val="0"/>
          <w:sz w:val="24"/>
          <w:szCs w:val="24"/>
          <w:lang w:val="en-US" w:eastAsia="zh-CN"/>
        </w:rPr>
      </w:pPr>
      <w:r>
        <w:rPr>
          <w:rFonts w:hint="eastAsia"/>
          <w:b w:val="0"/>
          <w:bCs w:val="0"/>
          <w:sz w:val="24"/>
          <w:szCs w:val="24"/>
          <w:lang w:val="en-US" w:eastAsia="zh-CN"/>
        </w:rPr>
        <w:t>《电气装置安装工程电缆线路施工及验收规范》GB50168、《建筑电气工程施工质量验收规</w:t>
      </w:r>
    </w:p>
    <w:p>
      <w:pPr>
        <w:numPr>
          <w:ilvl w:val="0"/>
          <w:numId w:val="0"/>
        </w:numPr>
        <w:rPr>
          <w:rFonts w:hint="eastAsia"/>
          <w:b w:val="0"/>
          <w:bCs w:val="0"/>
          <w:sz w:val="24"/>
          <w:szCs w:val="24"/>
          <w:lang w:val="en-US" w:eastAsia="zh-CN"/>
        </w:rPr>
      </w:pPr>
      <w:r>
        <w:rPr>
          <w:rFonts w:hint="eastAsia"/>
          <w:b w:val="0"/>
          <w:bCs w:val="0"/>
          <w:sz w:val="24"/>
          <w:szCs w:val="24"/>
          <w:lang w:val="en-US" w:eastAsia="zh-CN"/>
        </w:rPr>
        <w:t>范》GB50303、《电气装置安装工程电气设备交接试验标准》GB50150、《建筑机械使用安全技术规程》JGJ33、《施工现场临时用电安全技术规范》JGJ46。</w:t>
      </w:r>
    </w:p>
    <w:p>
      <w:pPr>
        <w:numPr>
          <w:ilvl w:val="0"/>
          <w:numId w:val="0"/>
        </w:numPr>
        <w:rPr>
          <w:rFonts w:hint="eastAsia"/>
          <w:b w:val="0"/>
          <w:bCs w:val="0"/>
          <w:sz w:val="24"/>
          <w:szCs w:val="24"/>
          <w:lang w:val="en-US" w:eastAsia="zh-CN"/>
        </w:rPr>
      </w:pPr>
      <w:r>
        <w:rPr>
          <w:rFonts w:hint="eastAsia"/>
          <w:b w:val="0"/>
          <w:bCs w:val="0"/>
          <w:sz w:val="24"/>
          <w:szCs w:val="24"/>
          <w:lang w:val="en-US" w:eastAsia="zh-CN"/>
        </w:rPr>
        <w:t>（2）技术要求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电缆型号、电压及规格应符合设计要求。核实电缆生产编号、订货长度、电缆位号，做到敷</w:t>
      </w:r>
    </w:p>
    <w:p>
      <w:pPr>
        <w:numPr>
          <w:ilvl w:val="0"/>
          <w:numId w:val="0"/>
        </w:numPr>
        <w:rPr>
          <w:rFonts w:hint="eastAsia"/>
          <w:b w:val="0"/>
          <w:bCs w:val="0"/>
          <w:sz w:val="24"/>
          <w:szCs w:val="24"/>
          <w:lang w:val="en-US" w:eastAsia="zh-CN"/>
        </w:rPr>
      </w:pPr>
      <w:r>
        <w:rPr>
          <w:rFonts w:hint="eastAsia"/>
          <w:b w:val="0"/>
          <w:bCs w:val="0"/>
          <w:sz w:val="24"/>
          <w:szCs w:val="24"/>
          <w:lang w:val="en-US" w:eastAsia="zh-CN"/>
        </w:rPr>
        <w:t>设准确无误；电缆外观无损伤，电缆密封应严密；电缆应做耐压和泄漏试验，试验标准应符合国家标准和规范的要求，电缆敷设前还应用 2.5kV 摇表测量绝缘电阻是否合格。</w:t>
      </w:r>
    </w:p>
    <w:p>
      <w:pPr>
        <w:numPr>
          <w:ilvl w:val="0"/>
          <w:numId w:val="0"/>
        </w:numPr>
        <w:rPr>
          <w:rFonts w:hint="eastAsia"/>
          <w:b/>
          <w:bCs/>
          <w:sz w:val="24"/>
          <w:szCs w:val="24"/>
          <w:lang w:val="en-US" w:eastAsia="zh-CN"/>
        </w:rPr>
      </w:pPr>
      <w:r>
        <w:rPr>
          <w:rFonts w:hint="eastAsia"/>
          <w:b/>
          <w:bCs/>
          <w:sz w:val="24"/>
          <w:szCs w:val="24"/>
          <w:lang w:val="en-US" w:eastAsia="zh-CN"/>
        </w:rPr>
        <w:t>6.10 机电消声减振综合施工技术指标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按设计要求的标准执行；当无设计无要求时，参照执行《城市区域环境噪声标准》GB3096、</w:t>
      </w:r>
    </w:p>
    <w:p>
      <w:pPr>
        <w:numPr>
          <w:ilvl w:val="0"/>
          <w:numId w:val="0"/>
        </w:numPr>
        <w:rPr>
          <w:rFonts w:hint="eastAsia"/>
          <w:b w:val="0"/>
          <w:bCs w:val="0"/>
          <w:sz w:val="24"/>
          <w:szCs w:val="24"/>
          <w:lang w:val="en-US" w:eastAsia="zh-CN"/>
        </w:rPr>
      </w:pPr>
      <w:r>
        <w:rPr>
          <w:rFonts w:hint="eastAsia"/>
          <w:b w:val="0"/>
          <w:bCs w:val="0"/>
          <w:sz w:val="24"/>
          <w:szCs w:val="24"/>
          <w:lang w:val="en-US" w:eastAsia="zh-CN"/>
        </w:rPr>
        <w:t>《城市区域环境振动标准》GB10070、《民用建筑隔声设计规范》GB50118、《隔振设计规范》</w:t>
      </w:r>
    </w:p>
    <w:p>
      <w:pPr>
        <w:numPr>
          <w:ilvl w:val="0"/>
          <w:numId w:val="0"/>
        </w:numPr>
        <w:rPr>
          <w:rFonts w:hint="eastAsia"/>
          <w:b w:val="0"/>
          <w:bCs w:val="0"/>
          <w:sz w:val="24"/>
          <w:szCs w:val="24"/>
          <w:lang w:val="en-US" w:eastAsia="zh-CN"/>
        </w:rPr>
      </w:pPr>
      <w:r>
        <w:rPr>
          <w:rFonts w:hint="eastAsia"/>
          <w:b w:val="0"/>
          <w:bCs w:val="0"/>
          <w:sz w:val="24"/>
          <w:szCs w:val="24"/>
          <w:lang w:val="en-US" w:eastAsia="zh-CN"/>
        </w:rPr>
        <w:t>GB50463、《建筑工程容许振动标准》GB50868、《环境噪声与振动控制工程技术导则》HJ2034、</w:t>
      </w:r>
    </w:p>
    <w:p>
      <w:pPr>
        <w:numPr>
          <w:ilvl w:val="0"/>
          <w:numId w:val="0"/>
        </w:numPr>
        <w:rPr>
          <w:rFonts w:hint="eastAsia"/>
          <w:b w:val="0"/>
          <w:bCs w:val="0"/>
          <w:sz w:val="24"/>
          <w:szCs w:val="24"/>
          <w:lang w:val="en-US" w:eastAsia="zh-CN"/>
        </w:rPr>
      </w:pPr>
      <w:r>
        <w:rPr>
          <w:rFonts w:hint="eastAsia"/>
          <w:b w:val="0"/>
          <w:bCs w:val="0"/>
          <w:sz w:val="24"/>
          <w:szCs w:val="24"/>
          <w:lang w:val="en-US" w:eastAsia="zh-CN"/>
        </w:rPr>
        <w:t>《剧场、电影院和多用途厅堂建筑声学设计规范》GB/T50356。</w:t>
      </w:r>
    </w:p>
    <w:p>
      <w:pPr>
        <w:numPr>
          <w:ilvl w:val="0"/>
          <w:numId w:val="0"/>
        </w:numPr>
        <w:rPr>
          <w:rFonts w:hint="eastAsia"/>
          <w:b/>
          <w:bCs/>
          <w:sz w:val="24"/>
          <w:szCs w:val="24"/>
          <w:lang w:val="en-US" w:eastAsia="zh-CN"/>
        </w:rPr>
      </w:pPr>
      <w:r>
        <w:rPr>
          <w:rFonts w:hint="eastAsia"/>
          <w:b/>
          <w:bCs/>
          <w:sz w:val="24"/>
          <w:szCs w:val="24"/>
          <w:lang w:val="en-US" w:eastAsia="zh-CN"/>
        </w:rPr>
        <w:t>6.11 建筑机电系统全过程调试技术指标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目前国内关于建筑机电系统全过程调试没有专门的规范和指南，只能依照现行的设计、施工、验收和检测规范的相关部分开展工作。主要依据的规范有：《民用建筑供暖通风与空气调节设计规范》GB50736、《公共建筑节能设计标准》GB50189、《民用建筑电气设计规范》JGJ16、《通风与空调工程施工质量验收规范》GB50243、《建筑节能工程施工质量验收规范》GB50411、《建筑电气工程施工质量验收规范》GB50303、《建筑给水排水及采暖工程施工质量验收规范》GB50242、《智能建筑工程质量验收规范》GB50339、《通风与空调工程施工规范》GB50738、《公共建筑节能检测标准》JGJ/T177、《采暖通风与空气调节工程检测技术规程》JGJ/T260、《变风量空调系统工程技术规程》JGJ343。</w:t>
      </w:r>
    </w:p>
    <w:p>
      <w:pPr>
        <w:numPr>
          <w:numId w:val="0"/>
        </w:numPr>
        <w:ind w:leftChars="0"/>
        <w:rPr>
          <w:rFonts w:hint="eastAsia"/>
          <w:b w:val="0"/>
          <w:bCs w:val="0"/>
          <w:sz w:val="24"/>
          <w:szCs w:val="24"/>
          <w:lang w:val="en-US" w:eastAsia="zh-CN"/>
        </w:rPr>
      </w:pPr>
      <w:r>
        <w:rPr>
          <w:rFonts w:hint="eastAsia"/>
          <w:b/>
          <w:bCs/>
          <w:sz w:val="32"/>
          <w:szCs w:val="32"/>
          <w:lang w:val="en-US" w:eastAsia="zh-CN"/>
        </w:rPr>
        <w:t>七．绿色施工技术</w:t>
      </w:r>
    </w:p>
    <w:p>
      <w:pPr>
        <w:numPr>
          <w:ilvl w:val="0"/>
          <w:numId w:val="0"/>
        </w:numPr>
        <w:rPr>
          <w:rFonts w:hint="eastAsia"/>
          <w:b/>
          <w:bCs/>
          <w:sz w:val="24"/>
          <w:szCs w:val="24"/>
          <w:lang w:val="en-US" w:eastAsia="zh-CN"/>
        </w:rPr>
      </w:pPr>
      <w:r>
        <w:rPr>
          <w:rFonts w:hint="eastAsia"/>
          <w:b/>
          <w:bCs/>
          <w:sz w:val="24"/>
          <w:szCs w:val="24"/>
          <w:lang w:val="en-US" w:eastAsia="zh-CN"/>
        </w:rPr>
        <w:t>7.1 封闭降水及水收集综合利用技术</w:t>
      </w:r>
    </w:p>
    <w:p>
      <w:pPr>
        <w:numPr>
          <w:ilvl w:val="0"/>
          <w:numId w:val="0"/>
        </w:numPr>
        <w:rPr>
          <w:rFonts w:hint="eastAsia"/>
          <w:b/>
          <w:bCs/>
          <w:sz w:val="24"/>
          <w:szCs w:val="24"/>
          <w:lang w:val="en-US" w:eastAsia="zh-CN"/>
        </w:rPr>
      </w:pPr>
      <w:r>
        <w:rPr>
          <w:rFonts w:hint="eastAsia"/>
          <w:b/>
          <w:bCs/>
          <w:sz w:val="24"/>
          <w:szCs w:val="24"/>
          <w:lang w:val="en-US" w:eastAsia="zh-CN"/>
        </w:rPr>
        <w:t>7.1.1 基坑施工封闭降水技术指标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（1）封闭深度：宜采用悬挂式竖向截水和水平封底相结合，在没有水平封底措施的情况下要求侧壁帷幕（连续墙、搅拌桩、旋喷桩等）插入基坑下卧不透水土层一定深度。深度情况应满足下式计算： L </w:t>
      </w:r>
      <w:r>
        <w:rPr>
          <w:rFonts w:hint="eastAsia" w:ascii="宋体" w:hAnsi="宋体" w:eastAsia="宋体" w:cs="宋体"/>
          <w:b w:val="0"/>
          <w:bCs w:val="0"/>
          <w:sz w:val="24"/>
          <w:szCs w:val="24"/>
          <w:lang w:val="en-US" w:eastAsia="zh-CN"/>
        </w:rPr>
        <w:t>=</w:t>
      </w:r>
      <w:r>
        <w:rPr>
          <w:rFonts w:hint="eastAsia"/>
          <w:b w:val="0"/>
          <w:bCs w:val="0"/>
          <w:sz w:val="24"/>
          <w:szCs w:val="24"/>
          <w:lang w:val="en-US" w:eastAsia="zh-CN"/>
        </w:rPr>
        <w:t xml:space="preserve"> 0.2hw </w:t>
      </w:r>
      <w:r>
        <w:rPr>
          <w:rFonts w:hint="eastAsia" w:ascii="宋体" w:hAnsi="宋体" w:eastAsia="宋体" w:cs="宋体"/>
          <w:b w:val="0"/>
          <w:bCs w:val="0"/>
          <w:sz w:val="24"/>
          <w:szCs w:val="24"/>
          <w:lang w:val="en-US" w:eastAsia="zh-CN"/>
        </w:rPr>
        <w:t>－</w:t>
      </w:r>
      <w:r>
        <w:rPr>
          <w:rFonts w:hint="eastAsia"/>
          <w:b w:val="0"/>
          <w:bCs w:val="0"/>
          <w:sz w:val="24"/>
          <w:szCs w:val="24"/>
          <w:lang w:val="en-US" w:eastAsia="zh-CN"/>
        </w:rPr>
        <w:t xml:space="preserve"> 0.5b</w:t>
      </w:r>
    </w:p>
    <w:p>
      <w:pPr>
        <w:numPr>
          <w:ilvl w:val="0"/>
          <w:numId w:val="0"/>
        </w:numPr>
        <w:rPr>
          <w:rFonts w:hint="eastAsia"/>
          <w:b w:val="0"/>
          <w:bCs w:val="0"/>
          <w:sz w:val="24"/>
          <w:szCs w:val="24"/>
          <w:lang w:val="en-US" w:eastAsia="zh-CN"/>
        </w:rPr>
      </w:pPr>
      <w:r>
        <w:rPr>
          <w:rFonts w:hint="eastAsia"/>
          <w:b w:val="0"/>
          <w:bCs w:val="0"/>
          <w:sz w:val="24"/>
          <w:szCs w:val="24"/>
          <w:lang w:val="en-US" w:eastAsia="zh-CN"/>
        </w:rPr>
        <w:t>式中    L——帷幕插入不透水层的深度；</w:t>
      </w:r>
    </w:p>
    <w:p>
      <w:pPr>
        <w:numPr>
          <w:ilvl w:val="0"/>
          <w:numId w:val="0"/>
        </w:numPr>
        <w:ind w:firstLine="960" w:firstLineChars="400"/>
        <w:rPr>
          <w:rFonts w:hint="eastAsia"/>
          <w:b w:val="0"/>
          <w:bCs w:val="0"/>
          <w:sz w:val="24"/>
          <w:szCs w:val="24"/>
          <w:lang w:val="en-US" w:eastAsia="zh-CN"/>
        </w:rPr>
      </w:pPr>
      <w:r>
        <w:rPr>
          <w:rFonts w:hint="eastAsia"/>
          <w:b w:val="0"/>
          <w:bCs w:val="0"/>
          <w:sz w:val="24"/>
          <w:szCs w:val="24"/>
          <w:lang w:val="en-US" w:eastAsia="zh-CN"/>
        </w:rPr>
        <w:t>hw——作用水头；</w:t>
      </w:r>
    </w:p>
    <w:p>
      <w:pPr>
        <w:numPr>
          <w:ilvl w:val="0"/>
          <w:numId w:val="0"/>
        </w:numPr>
        <w:ind w:firstLine="960" w:firstLineChars="400"/>
        <w:rPr>
          <w:rFonts w:hint="eastAsia"/>
          <w:b w:val="0"/>
          <w:bCs w:val="0"/>
          <w:sz w:val="24"/>
          <w:szCs w:val="24"/>
          <w:lang w:val="en-US" w:eastAsia="zh-CN"/>
        </w:rPr>
      </w:pPr>
      <w:r>
        <w:rPr>
          <w:rFonts w:hint="eastAsia"/>
          <w:b w:val="0"/>
          <w:bCs w:val="0"/>
          <w:sz w:val="24"/>
          <w:szCs w:val="24"/>
          <w:lang w:val="en-US" w:eastAsia="zh-CN"/>
        </w:rPr>
        <w:t>b——帷幕厚度。</w:t>
      </w:r>
    </w:p>
    <w:p>
      <w:pPr>
        <w:numPr>
          <w:ilvl w:val="0"/>
          <w:numId w:val="0"/>
        </w:numPr>
        <w:rPr>
          <w:rFonts w:hint="eastAsia"/>
          <w:b w:val="0"/>
          <w:bCs w:val="0"/>
          <w:sz w:val="24"/>
          <w:szCs w:val="24"/>
          <w:lang w:val="en-US" w:eastAsia="zh-CN"/>
        </w:rPr>
      </w:pPr>
      <w:r>
        <w:rPr>
          <w:rFonts w:hint="eastAsia"/>
          <w:b w:val="0"/>
          <w:bCs w:val="0"/>
          <w:sz w:val="24"/>
          <w:szCs w:val="24"/>
          <w:lang w:val="en-US" w:eastAsia="zh-CN"/>
        </w:rPr>
        <w:t>（2）截水帷幕厚度：满足抗渗要求，渗透系数宜小于 1.0×10</w:t>
      </w:r>
    </w:p>
    <w:p>
      <w:pPr>
        <w:numPr>
          <w:ilvl w:val="0"/>
          <w:numId w:val="0"/>
        </w:numPr>
        <w:rPr>
          <w:rFonts w:hint="eastAsia"/>
          <w:b w:val="0"/>
          <w:bCs w:val="0"/>
          <w:sz w:val="24"/>
          <w:szCs w:val="24"/>
          <w:lang w:val="en-US" w:eastAsia="zh-CN"/>
        </w:rPr>
      </w:pPr>
      <w:r>
        <w:rPr>
          <w:rFonts w:hint="eastAsia"/>
          <w:b w:val="0"/>
          <w:bCs w:val="0"/>
          <w:sz w:val="24"/>
          <w:szCs w:val="24"/>
          <w:lang w:val="en-US" w:eastAsia="zh-CN"/>
        </w:rPr>
        <w:t>-6cm/s。</w:t>
      </w:r>
    </w:p>
    <w:p>
      <w:pPr>
        <w:numPr>
          <w:ilvl w:val="0"/>
          <w:numId w:val="0"/>
        </w:numPr>
        <w:rPr>
          <w:rFonts w:hint="eastAsia"/>
          <w:b w:val="0"/>
          <w:bCs w:val="0"/>
          <w:sz w:val="24"/>
          <w:szCs w:val="24"/>
          <w:lang w:val="en-US" w:eastAsia="zh-CN"/>
        </w:rPr>
      </w:pPr>
      <w:r>
        <w:rPr>
          <w:rFonts w:hint="eastAsia"/>
          <w:b w:val="0"/>
          <w:bCs w:val="0"/>
          <w:sz w:val="24"/>
          <w:szCs w:val="24"/>
          <w:lang w:val="en-US" w:eastAsia="zh-CN"/>
        </w:rPr>
        <w:t>（3）基坑内井深度：可采用疏干井和降水井，若采用降水井，井深度不宜超过截水帷幕深度；若采用疏干井，井深应插入下层强透水层。</w:t>
      </w:r>
    </w:p>
    <w:p>
      <w:pPr>
        <w:numPr>
          <w:ilvl w:val="0"/>
          <w:numId w:val="0"/>
        </w:numPr>
        <w:rPr>
          <w:rFonts w:hint="eastAsia"/>
          <w:b w:val="0"/>
          <w:bCs w:val="0"/>
          <w:sz w:val="24"/>
          <w:szCs w:val="24"/>
          <w:lang w:val="en-US" w:eastAsia="zh-CN"/>
        </w:rPr>
      </w:pPr>
      <w:r>
        <w:rPr>
          <w:rFonts w:hint="eastAsia"/>
          <w:b w:val="0"/>
          <w:bCs w:val="0"/>
          <w:sz w:val="24"/>
          <w:szCs w:val="24"/>
          <w:lang w:val="en-US" w:eastAsia="zh-CN"/>
        </w:rPr>
        <w:t>（4）结构安全性：截水帷幕必须在有安全的基坑支护措施下配合使用（如注浆法），或者帷</w:t>
      </w:r>
    </w:p>
    <w:p>
      <w:pPr>
        <w:numPr>
          <w:ilvl w:val="0"/>
          <w:numId w:val="0"/>
        </w:numPr>
        <w:rPr>
          <w:rFonts w:hint="eastAsia"/>
          <w:b w:val="0"/>
          <w:bCs w:val="0"/>
          <w:sz w:val="24"/>
          <w:szCs w:val="24"/>
          <w:lang w:val="en-US" w:eastAsia="zh-CN"/>
        </w:rPr>
      </w:pPr>
      <w:r>
        <w:rPr>
          <w:rFonts w:hint="eastAsia"/>
          <w:b w:val="0"/>
          <w:bCs w:val="0"/>
          <w:sz w:val="24"/>
          <w:szCs w:val="24"/>
          <w:lang w:val="en-US" w:eastAsia="zh-CN"/>
        </w:rPr>
        <w:t>幕本身经计算能同时满足基坑支护的要求（如地下连续墙）。</w:t>
      </w:r>
    </w:p>
    <w:p>
      <w:pPr>
        <w:numPr>
          <w:ilvl w:val="0"/>
          <w:numId w:val="0"/>
        </w:numPr>
        <w:rPr>
          <w:rFonts w:hint="eastAsia"/>
          <w:b/>
          <w:bCs/>
          <w:sz w:val="24"/>
          <w:szCs w:val="24"/>
          <w:lang w:val="en-US" w:eastAsia="zh-CN"/>
        </w:rPr>
      </w:pPr>
      <w:r>
        <w:rPr>
          <w:rFonts w:hint="eastAsia"/>
          <w:b/>
          <w:bCs/>
          <w:sz w:val="24"/>
          <w:szCs w:val="24"/>
          <w:lang w:val="en-US" w:eastAsia="zh-CN"/>
        </w:rPr>
        <w:t>7.1.2 施工现场水收集综合利用技术指标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（1）利用自渗效果将上层滞水引渗至下层潜水层中，有回灌量、集中存放量和使用量记录。</w:t>
      </w:r>
    </w:p>
    <w:p>
      <w:pPr>
        <w:numPr>
          <w:ilvl w:val="0"/>
          <w:numId w:val="0"/>
        </w:numPr>
        <w:rPr>
          <w:rFonts w:hint="eastAsia"/>
          <w:b w:val="0"/>
          <w:bCs w:val="0"/>
          <w:sz w:val="24"/>
          <w:szCs w:val="24"/>
          <w:lang w:val="en-US" w:eastAsia="zh-CN"/>
        </w:rPr>
      </w:pPr>
      <w:r>
        <w:rPr>
          <w:rFonts w:hint="eastAsia"/>
          <w:b w:val="0"/>
          <w:bCs w:val="0"/>
          <w:sz w:val="24"/>
          <w:szCs w:val="24"/>
          <w:lang w:val="en-US" w:eastAsia="zh-CN"/>
        </w:rPr>
        <w:t>（2）施工现场用水至少应有 20%来源于雨水和生产废水回收利用等。</w:t>
      </w:r>
    </w:p>
    <w:p>
      <w:pPr>
        <w:numPr>
          <w:ilvl w:val="0"/>
          <w:numId w:val="0"/>
        </w:numPr>
        <w:rPr>
          <w:rFonts w:hint="eastAsia"/>
          <w:b w:val="0"/>
          <w:bCs w:val="0"/>
          <w:sz w:val="24"/>
          <w:szCs w:val="24"/>
          <w:lang w:val="en-US" w:eastAsia="zh-CN"/>
        </w:rPr>
      </w:pPr>
      <w:r>
        <w:rPr>
          <w:rFonts w:hint="eastAsia"/>
          <w:b w:val="0"/>
          <w:bCs w:val="0"/>
          <w:sz w:val="24"/>
          <w:szCs w:val="24"/>
          <w:lang w:val="en-US" w:eastAsia="zh-CN"/>
        </w:rPr>
        <w:t>（3）污水排放应符合《污水综合排放标准》GB 8978。</w:t>
      </w:r>
    </w:p>
    <w:p>
      <w:pPr>
        <w:numPr>
          <w:ilvl w:val="0"/>
          <w:numId w:val="0"/>
        </w:numPr>
        <w:rPr>
          <w:rFonts w:hint="eastAsia"/>
          <w:b w:val="0"/>
          <w:bCs w:val="0"/>
          <w:sz w:val="24"/>
          <w:szCs w:val="24"/>
          <w:lang w:val="en-US" w:eastAsia="zh-CN"/>
        </w:rPr>
      </w:pPr>
      <w:r>
        <w:rPr>
          <w:rFonts w:hint="eastAsia"/>
          <w:b w:val="0"/>
          <w:bCs w:val="0"/>
          <w:sz w:val="24"/>
          <w:szCs w:val="24"/>
          <w:lang w:val="en-US" w:eastAsia="zh-CN"/>
        </w:rPr>
        <w:t>（4）基坑降水回收利用率为</w:t>
      </w:r>
    </w:p>
    <w:p>
      <w:pPr>
        <w:numPr>
          <w:ilvl w:val="0"/>
          <w:numId w:val="0"/>
        </w:numPr>
        <w:rPr>
          <w:rFonts w:hint="eastAsia"/>
          <w:b w:val="0"/>
          <w:bCs w:val="0"/>
          <w:sz w:val="24"/>
          <w:szCs w:val="24"/>
          <w:lang w:val="en-US" w:eastAsia="zh-CN"/>
        </w:rPr>
      </w:pPr>
      <w:r>
        <w:rPr>
          <w:rFonts w:hint="eastAsia" w:ascii="宋体" w:hAnsi="宋体" w:eastAsia="宋体" w:cs="宋体"/>
          <w:b w:val="0"/>
          <w:bCs w:val="0"/>
          <w:sz w:val="24"/>
          <w:szCs w:val="24"/>
          <w:lang w:val="en-US" w:eastAsia="zh-CN"/>
        </w:rPr>
        <w:t>R=K6（</w:t>
      </w:r>
      <w:r>
        <w:rPr>
          <w:rFonts w:hint="eastAsia"/>
          <w:b w:val="0"/>
          <w:bCs w:val="0"/>
          <w:sz w:val="24"/>
          <w:szCs w:val="24"/>
          <w:lang w:val="en-US" w:eastAsia="zh-CN"/>
        </w:rPr>
        <w:t>Q1+q1+q2+q3）100%</w:t>
      </w:r>
      <w:r>
        <w:rPr>
          <w:rFonts w:hint="eastAsia" w:ascii="宋体" w:hAnsi="宋体" w:eastAsia="宋体" w:cs="宋体"/>
          <w:b w:val="0"/>
          <w:bCs w:val="0"/>
          <w:sz w:val="24"/>
          <w:szCs w:val="24"/>
          <w:lang w:val="en-US" w:eastAsia="zh-CN"/>
        </w:rPr>
        <w:t>/</w:t>
      </w:r>
      <w:r>
        <w:rPr>
          <w:rFonts w:hint="eastAsia"/>
          <w:b w:val="0"/>
          <w:bCs w:val="0"/>
          <w:sz w:val="24"/>
          <w:szCs w:val="24"/>
          <w:lang w:val="en-US" w:eastAsia="zh-CN"/>
        </w:rPr>
        <w:t>Q0</w:t>
      </w:r>
    </w:p>
    <w:p>
      <w:pPr>
        <w:numPr>
          <w:ilvl w:val="0"/>
          <w:numId w:val="0"/>
        </w:numPr>
        <w:rPr>
          <w:rFonts w:hint="eastAsia"/>
          <w:b w:val="0"/>
          <w:bCs w:val="0"/>
          <w:sz w:val="24"/>
          <w:szCs w:val="24"/>
          <w:lang w:val="en-US" w:eastAsia="zh-CN"/>
        </w:rPr>
      </w:pPr>
      <w:r>
        <w:rPr>
          <w:rFonts w:hint="eastAsia"/>
          <w:b w:val="0"/>
          <w:bCs w:val="0"/>
          <w:sz w:val="24"/>
          <w:szCs w:val="24"/>
          <w:lang w:val="en-US" w:eastAsia="zh-CN"/>
        </w:rPr>
        <w:t>式中  Q0--基坑涌水量（m3/d），按照最不利条件下的计算最大流量；</w:t>
      </w:r>
    </w:p>
    <w:p>
      <w:pPr>
        <w:numPr>
          <w:ilvl w:val="0"/>
          <w:numId w:val="0"/>
        </w:numPr>
        <w:ind w:firstLine="720" w:firstLineChars="300"/>
        <w:rPr>
          <w:rFonts w:hint="eastAsia"/>
          <w:b w:val="0"/>
          <w:bCs w:val="0"/>
          <w:sz w:val="24"/>
          <w:szCs w:val="24"/>
          <w:lang w:val="en-US" w:eastAsia="zh-CN"/>
        </w:rPr>
      </w:pPr>
      <w:r>
        <w:rPr>
          <w:rFonts w:hint="eastAsia"/>
          <w:b w:val="0"/>
          <w:bCs w:val="0"/>
          <w:sz w:val="24"/>
          <w:szCs w:val="24"/>
          <w:lang w:val="en-US" w:eastAsia="zh-CN"/>
        </w:rPr>
        <w:t>Q1--回灌至地下的水量（根据地质情况及试验确定）；</w:t>
      </w:r>
    </w:p>
    <w:p>
      <w:pPr>
        <w:numPr>
          <w:ilvl w:val="0"/>
          <w:numId w:val="0"/>
        </w:numPr>
        <w:ind w:firstLine="720" w:firstLineChars="300"/>
        <w:rPr>
          <w:rFonts w:hint="eastAsia"/>
          <w:b w:val="0"/>
          <w:bCs w:val="0"/>
          <w:sz w:val="24"/>
          <w:szCs w:val="24"/>
          <w:lang w:val="en-US" w:eastAsia="zh-CN"/>
        </w:rPr>
      </w:pPr>
      <w:r>
        <w:rPr>
          <w:rFonts w:hint="eastAsia"/>
          <w:b w:val="0"/>
          <w:bCs w:val="0"/>
          <w:sz w:val="24"/>
          <w:szCs w:val="24"/>
          <w:lang w:val="en-US" w:eastAsia="zh-CN"/>
        </w:rPr>
        <w:t>q1—现场生活用水量 （m3/d）；</w:t>
      </w:r>
    </w:p>
    <w:p>
      <w:pPr>
        <w:numPr>
          <w:ilvl w:val="0"/>
          <w:numId w:val="0"/>
        </w:numPr>
        <w:ind w:firstLine="720" w:firstLineChars="300"/>
        <w:rPr>
          <w:rFonts w:hint="eastAsia"/>
          <w:b w:val="0"/>
          <w:bCs w:val="0"/>
          <w:sz w:val="24"/>
          <w:szCs w:val="24"/>
          <w:lang w:val="en-US" w:eastAsia="zh-CN"/>
        </w:rPr>
      </w:pPr>
      <w:r>
        <w:rPr>
          <w:rFonts w:hint="eastAsia"/>
          <w:b w:val="0"/>
          <w:bCs w:val="0"/>
          <w:sz w:val="24"/>
          <w:szCs w:val="24"/>
          <w:lang w:val="en-US" w:eastAsia="zh-CN"/>
        </w:rPr>
        <w:t>q2—现场控制扬尘用水量 （m3/d）；</w:t>
      </w:r>
    </w:p>
    <w:p>
      <w:pPr>
        <w:numPr>
          <w:ilvl w:val="0"/>
          <w:numId w:val="0"/>
        </w:numPr>
        <w:ind w:firstLine="720" w:firstLineChars="300"/>
        <w:rPr>
          <w:rFonts w:hint="eastAsia"/>
          <w:b w:val="0"/>
          <w:bCs w:val="0"/>
          <w:sz w:val="24"/>
          <w:szCs w:val="24"/>
          <w:lang w:val="en-US" w:eastAsia="zh-CN"/>
        </w:rPr>
      </w:pPr>
      <w:r>
        <w:rPr>
          <w:rFonts w:hint="eastAsia"/>
          <w:b w:val="0"/>
          <w:bCs w:val="0"/>
          <w:sz w:val="24"/>
          <w:szCs w:val="24"/>
          <w:lang w:val="en-US" w:eastAsia="zh-CN"/>
        </w:rPr>
        <w:t>q3--施工砌筑抹灰等用水量（m3/d）；</w:t>
      </w:r>
    </w:p>
    <w:p>
      <w:pPr>
        <w:numPr>
          <w:ilvl w:val="0"/>
          <w:numId w:val="0"/>
        </w:numPr>
        <w:ind w:firstLine="720" w:firstLineChars="300"/>
        <w:rPr>
          <w:rFonts w:hint="eastAsia"/>
          <w:b w:val="0"/>
          <w:bCs w:val="0"/>
          <w:sz w:val="24"/>
          <w:szCs w:val="24"/>
          <w:lang w:val="en-US" w:eastAsia="zh-CN"/>
        </w:rPr>
      </w:pPr>
      <w:r>
        <w:rPr>
          <w:rFonts w:hint="eastAsia"/>
          <w:b w:val="0"/>
          <w:bCs w:val="0"/>
          <w:sz w:val="24"/>
          <w:szCs w:val="24"/>
          <w:lang w:val="en-US" w:eastAsia="zh-CN"/>
        </w:rPr>
        <w:t>K6--损失系数；取 0.85～0.95。</w:t>
      </w:r>
    </w:p>
    <w:p>
      <w:pPr>
        <w:numPr>
          <w:ilvl w:val="0"/>
          <w:numId w:val="0"/>
        </w:numPr>
        <w:rPr>
          <w:rFonts w:hint="eastAsia"/>
          <w:b/>
          <w:bCs/>
          <w:sz w:val="24"/>
          <w:szCs w:val="24"/>
          <w:lang w:val="en-US" w:eastAsia="zh-CN"/>
        </w:rPr>
      </w:pPr>
      <w:r>
        <w:rPr>
          <w:rFonts w:hint="eastAsia"/>
          <w:b/>
          <w:bCs/>
          <w:sz w:val="24"/>
          <w:szCs w:val="24"/>
          <w:lang w:val="en-US" w:eastAsia="zh-CN"/>
        </w:rPr>
        <w:t>7.2 建筑垃圾减量化与资源化利用技术指标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（1）再生骨料应符合《混凝土再生粗骨料》GB/T 25177、《混凝土和砂浆用再生细骨料》</w:t>
      </w:r>
    </w:p>
    <w:p>
      <w:pPr>
        <w:numPr>
          <w:ilvl w:val="0"/>
          <w:numId w:val="0"/>
        </w:numPr>
        <w:rPr>
          <w:rFonts w:hint="eastAsia"/>
          <w:b w:val="0"/>
          <w:bCs w:val="0"/>
          <w:sz w:val="24"/>
          <w:szCs w:val="24"/>
          <w:lang w:val="en-US" w:eastAsia="zh-CN"/>
        </w:rPr>
      </w:pPr>
      <w:r>
        <w:rPr>
          <w:rFonts w:hint="eastAsia"/>
          <w:b w:val="0"/>
          <w:bCs w:val="0"/>
          <w:sz w:val="24"/>
          <w:szCs w:val="24"/>
          <w:lang w:val="en-US" w:eastAsia="zh-CN"/>
        </w:rPr>
        <w:t>GB/T 25176、《再生骨料应用技术规程》JGJ/T 240、《再生骨料地面砖、透水砖》CJ/T 400 和《建筑垃圾再生骨料实心砖》JG/T 505 的规定；</w:t>
      </w:r>
    </w:p>
    <w:p>
      <w:pPr>
        <w:numPr>
          <w:ilvl w:val="0"/>
          <w:numId w:val="2"/>
        </w:numPr>
        <w:rPr>
          <w:rFonts w:hint="eastAsia"/>
          <w:b w:val="0"/>
          <w:bCs w:val="0"/>
          <w:sz w:val="24"/>
          <w:szCs w:val="24"/>
          <w:lang w:val="en-US" w:eastAsia="zh-CN"/>
        </w:rPr>
      </w:pPr>
      <w:r>
        <w:rPr>
          <w:rFonts w:hint="eastAsia"/>
          <w:b w:val="0"/>
          <w:bCs w:val="0"/>
          <w:sz w:val="24"/>
          <w:szCs w:val="24"/>
          <w:lang w:val="en-US" w:eastAsia="zh-CN"/>
        </w:rPr>
        <w:t>建筑垃圾产生量应不高于 350t/万 m2；可回收的建筑垃圾回收利用率达到 80%以上。</w:t>
      </w:r>
    </w:p>
    <w:p>
      <w:pPr>
        <w:numPr>
          <w:ilvl w:val="0"/>
          <w:numId w:val="0"/>
        </w:numPr>
        <w:rPr>
          <w:rFonts w:hint="eastAsia"/>
          <w:b/>
          <w:bCs/>
          <w:sz w:val="24"/>
          <w:szCs w:val="24"/>
          <w:lang w:val="en-US" w:eastAsia="zh-CN"/>
        </w:rPr>
      </w:pPr>
      <w:r>
        <w:rPr>
          <w:rFonts w:hint="eastAsia"/>
          <w:b/>
          <w:bCs/>
          <w:sz w:val="24"/>
          <w:szCs w:val="24"/>
          <w:lang w:val="en-US" w:eastAsia="zh-CN"/>
        </w:rPr>
        <w:t>7.3 施工现场太阳能、空气能利用技术指标</w:t>
      </w:r>
    </w:p>
    <w:p>
      <w:pPr>
        <w:numPr>
          <w:ilvl w:val="0"/>
          <w:numId w:val="0"/>
        </w:numPr>
        <w:rPr>
          <w:rFonts w:hint="eastAsia"/>
          <w:b/>
          <w:bCs/>
          <w:sz w:val="24"/>
          <w:szCs w:val="24"/>
          <w:lang w:val="en-US" w:eastAsia="zh-CN"/>
        </w:rPr>
      </w:pPr>
      <w:r>
        <w:rPr>
          <w:rFonts w:hint="eastAsia"/>
          <w:b/>
          <w:bCs/>
          <w:sz w:val="24"/>
          <w:szCs w:val="24"/>
          <w:lang w:val="en-US" w:eastAsia="zh-CN"/>
        </w:rPr>
        <w:t>7.3.1 施工现场太阳能光伏发电照明技术指标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施工现场太阳能光伏发电照明技术中的照明灯具负载应为直流负载，灯具选用以工作电压为12V 的 LED 灯为主。生活区安装太阳能发电电池，保证道路照明使用率达到 90%以上。</w:t>
      </w:r>
    </w:p>
    <w:p>
      <w:pPr>
        <w:numPr>
          <w:ilvl w:val="0"/>
          <w:numId w:val="0"/>
        </w:numPr>
        <w:rPr>
          <w:rFonts w:hint="eastAsia"/>
          <w:b w:val="0"/>
          <w:bCs w:val="0"/>
          <w:sz w:val="24"/>
          <w:szCs w:val="24"/>
          <w:lang w:val="en-US" w:eastAsia="zh-CN"/>
        </w:rPr>
      </w:pPr>
      <w:r>
        <w:rPr>
          <w:rFonts w:hint="eastAsia"/>
          <w:b w:val="0"/>
          <w:bCs w:val="0"/>
          <w:sz w:val="24"/>
          <w:szCs w:val="24"/>
          <w:lang w:val="en-US" w:eastAsia="zh-CN"/>
        </w:rPr>
        <w:t>（1）光伏组件：具有封装及内部联结的、能单独提供直流电输出、最小不可分割的太阳电池组合装置，又称太阳电池组件。太阳光充足日照好的地区，宜采用多晶硅太阳能电池；阴雨天比较多、阳光相对不是很充足的地区，宜采用单晶硅太阳能电池；其他新型太阳能电池，可根据太阳能电池发展趋势选用新型低成本太阳能电池；选用的太阳能电池输出的电压应比蓄电池的额定电压高 20%~30%，以保证蓄电池正常充电。</w:t>
      </w:r>
    </w:p>
    <w:p>
      <w:pPr>
        <w:numPr>
          <w:ilvl w:val="0"/>
          <w:numId w:val="0"/>
        </w:numPr>
        <w:rPr>
          <w:rFonts w:hint="eastAsia"/>
          <w:b w:val="0"/>
          <w:bCs w:val="0"/>
          <w:sz w:val="24"/>
          <w:szCs w:val="24"/>
          <w:lang w:val="en-US" w:eastAsia="zh-CN"/>
        </w:rPr>
      </w:pPr>
      <w:r>
        <w:rPr>
          <w:rFonts w:hint="eastAsia"/>
          <w:b w:val="0"/>
          <w:bCs w:val="0"/>
          <w:sz w:val="24"/>
          <w:szCs w:val="24"/>
          <w:lang w:val="en-US" w:eastAsia="zh-CN"/>
        </w:rPr>
        <w:t>（2）太阳能控制器：控制整个系统的工作状态，并对蓄电池起到过充电保护、过放电保护的作用；在温差较大的地方，应具备温度补偿和路灯控制功能。</w:t>
      </w:r>
    </w:p>
    <w:p>
      <w:pPr>
        <w:numPr>
          <w:ilvl w:val="0"/>
          <w:numId w:val="0"/>
        </w:numPr>
        <w:rPr>
          <w:rFonts w:hint="eastAsia"/>
          <w:b w:val="0"/>
          <w:bCs w:val="0"/>
          <w:sz w:val="24"/>
          <w:szCs w:val="24"/>
          <w:lang w:val="en-US" w:eastAsia="zh-CN"/>
        </w:rPr>
      </w:pPr>
      <w:r>
        <w:rPr>
          <w:rFonts w:hint="eastAsia"/>
          <w:b w:val="0"/>
          <w:bCs w:val="0"/>
          <w:sz w:val="24"/>
          <w:szCs w:val="24"/>
          <w:lang w:val="en-US" w:eastAsia="zh-CN"/>
        </w:rPr>
        <w:t>（3）蓄电池：一般为铅酸电池，小微型系统中，也可用镍氢电池、镍镉电池或锂电池。根据临建照明系统整体用电负荷数，选用适合容量的蓄电池，蓄电池额定工作电压通常选 12V，容量为日负荷消耗量的 6 倍左右，可根据项目具体使用情况组成电池组。</w:t>
      </w:r>
    </w:p>
    <w:p>
      <w:pPr>
        <w:numPr>
          <w:ilvl w:val="0"/>
          <w:numId w:val="0"/>
        </w:numPr>
        <w:rPr>
          <w:rFonts w:hint="eastAsia"/>
          <w:b/>
          <w:bCs/>
          <w:sz w:val="24"/>
          <w:szCs w:val="24"/>
          <w:lang w:val="en-US" w:eastAsia="zh-CN"/>
        </w:rPr>
      </w:pPr>
      <w:r>
        <w:rPr>
          <w:rFonts w:hint="eastAsia"/>
          <w:b/>
          <w:bCs/>
          <w:sz w:val="24"/>
          <w:szCs w:val="24"/>
          <w:lang w:val="en-US" w:eastAsia="zh-CN"/>
        </w:rPr>
        <w:t>7.3.2 太阳能热水应用技术指标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（1）太阳能热水技术系统由集热器外壳、水箱内胆、水箱外壳、控制器、水泵、内循环系统等组成。常见太阳能热水器安装技术参数如下表：</w:t>
      </w:r>
    </w:p>
    <w:p>
      <w:pPr>
        <w:numPr>
          <w:ilvl w:val="0"/>
          <w:numId w:val="0"/>
        </w:numPr>
        <w:ind w:firstLine="2409" w:firstLineChars="1000"/>
        <w:rPr>
          <w:rFonts w:hint="eastAsia"/>
          <w:b w:val="0"/>
          <w:bCs w:val="0"/>
          <w:sz w:val="24"/>
          <w:szCs w:val="24"/>
          <w:lang w:val="en-US" w:eastAsia="zh-CN"/>
        </w:rPr>
      </w:pPr>
      <w:r>
        <w:rPr>
          <w:rFonts w:hint="eastAsia"/>
          <w:b/>
          <w:bCs/>
          <w:sz w:val="24"/>
          <w:szCs w:val="24"/>
          <w:lang w:val="en-US" w:eastAsia="zh-CN"/>
        </w:rPr>
        <w:t>表 7.1 太阳能热水器安装技术参数</w:t>
      </w:r>
    </w:p>
    <w:tbl>
      <w:tblPr>
        <w:tblStyle w:val="6"/>
        <w:tblW w:w="9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656"/>
        <w:gridCol w:w="1752"/>
        <w:gridCol w:w="2052"/>
        <w:gridCol w:w="1872"/>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产品型号</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水箱容积（吨）</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集热面积（</w:t>
            </w:r>
            <w:r>
              <w:rPr>
                <w:rFonts w:hint="eastAsia" w:ascii="宋体" w:hAnsi="宋体" w:eastAsia="宋体" w:cs="宋体"/>
                <w:b w:val="0"/>
                <w:bCs w:val="0"/>
                <w:sz w:val="24"/>
                <w:szCs w:val="24"/>
                <w:vertAlign w:val="baseline"/>
                <w:lang w:val="en-US" w:eastAsia="zh-CN"/>
              </w:rPr>
              <w:t>㎡</w:t>
            </w:r>
            <w:r>
              <w:rPr>
                <w:rFonts w:hint="eastAsia"/>
                <w:b w:val="0"/>
                <w:bCs w:val="0"/>
                <w:sz w:val="24"/>
                <w:szCs w:val="24"/>
                <w:vertAlign w:val="baseline"/>
                <w:lang w:val="en-US" w:eastAsia="zh-CN"/>
              </w:rPr>
              <w:t>)</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集热管规格（mm)</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1"/>
                <w:szCs w:val="21"/>
                <w:vertAlign w:val="baseline"/>
                <w:lang w:val="en-US" w:eastAsia="zh-CN"/>
              </w:rPr>
              <w:t>集热管支数</w:t>
            </w:r>
            <w:r>
              <w:rPr>
                <w:rFonts w:hint="eastAsia"/>
                <w:b w:val="0"/>
                <w:bCs w:val="0"/>
                <w:sz w:val="24"/>
                <w:szCs w:val="24"/>
                <w:vertAlign w:val="baseline"/>
                <w:lang w:val="en-US" w:eastAsia="zh-CN"/>
              </w:rPr>
              <w:t>（支）</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适用人数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DFJN-1</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15</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120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DFJN-2</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240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DFJN-3</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45</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360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DFJN-4</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480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DFJN-5</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75</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DFJN-6</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90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720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DFJN-7</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7</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105</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840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140~160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DFJN-8</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8</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120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960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DFJN-9</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9</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135</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1080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180~200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DFJN-10</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10</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150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1200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200~240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DFJN-15</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15</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225</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1800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300~360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DFJN-20</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20</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300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2400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DFJN-30</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30</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450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3600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DFJN-40</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40</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600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4800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800~900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DFJN-50</w:t>
            </w:r>
          </w:p>
        </w:tc>
        <w:tc>
          <w:tcPr>
            <w:tcW w:w="16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50</w:t>
            </w:r>
          </w:p>
        </w:tc>
        <w:tc>
          <w:tcPr>
            <w:tcW w:w="175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750</w:t>
            </w:r>
          </w:p>
        </w:tc>
        <w:tc>
          <w:tcPr>
            <w:tcW w:w="2052"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φ47X1500</w:t>
            </w:r>
          </w:p>
        </w:tc>
        <w:tc>
          <w:tcPr>
            <w:tcW w:w="187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6000</w:t>
            </w:r>
          </w:p>
        </w:tc>
        <w:tc>
          <w:tcPr>
            <w:tcW w:w="134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1000~1100</w:t>
            </w:r>
          </w:p>
        </w:tc>
      </w:tr>
    </w:tbl>
    <w:p>
      <w:pPr>
        <w:numPr>
          <w:ilvl w:val="0"/>
          <w:numId w:val="0"/>
        </w:numPr>
        <w:ind w:firstLine="2400" w:firstLineChars="1000"/>
        <w:rPr>
          <w:rFonts w:hint="eastAsia"/>
          <w:b w:val="0"/>
          <w:bCs w:val="0"/>
          <w:sz w:val="24"/>
          <w:szCs w:val="24"/>
          <w:lang w:val="en-US" w:eastAsia="zh-CN"/>
        </w:rPr>
      </w:pPr>
    </w:p>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 </w:t>
      </w:r>
    </w:p>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特别说明：因每人每次洗浴用水量不同，以上所标适用人数为参考洗浴人数，请购买时根据实际情况选择合适的型号安装。 </w:t>
      </w:r>
    </w:p>
    <w:p>
      <w:pPr>
        <w:numPr>
          <w:ilvl w:val="0"/>
          <w:numId w:val="0"/>
        </w:numPr>
        <w:rPr>
          <w:rFonts w:hint="eastAsia"/>
          <w:b w:val="0"/>
          <w:bCs w:val="0"/>
          <w:sz w:val="24"/>
          <w:szCs w:val="24"/>
          <w:lang w:val="en-US" w:eastAsia="zh-CN"/>
        </w:rPr>
      </w:pPr>
      <w:r>
        <w:rPr>
          <w:rFonts w:hint="eastAsia"/>
          <w:b w:val="0"/>
          <w:bCs w:val="0"/>
          <w:sz w:val="24"/>
          <w:szCs w:val="24"/>
          <w:lang w:val="en-US" w:eastAsia="zh-CN"/>
        </w:rPr>
        <w:t>（2）太阳能集热器相对储水箱的位置应使循环管路尽可能短；集热器面向正南或正南偏西5o，条件不允许时可正南±30o；平板型、竖插式真空管太阳能集热器安装倾角需与工程所在地区纬度调整，一般情况安装角度等于当地纬度或当地纬度±10o；集热器应避免遮光物或前排集热器的遮挡，</w:t>
      </w:r>
    </w:p>
    <w:p>
      <w:pPr>
        <w:numPr>
          <w:ilvl w:val="0"/>
          <w:numId w:val="0"/>
        </w:numPr>
        <w:rPr>
          <w:rFonts w:hint="eastAsia"/>
          <w:b w:val="0"/>
          <w:bCs w:val="0"/>
          <w:sz w:val="24"/>
          <w:szCs w:val="24"/>
          <w:lang w:val="en-US" w:eastAsia="zh-CN"/>
        </w:rPr>
      </w:pPr>
      <w:r>
        <w:rPr>
          <w:rFonts w:hint="eastAsia"/>
          <w:b w:val="0"/>
          <w:bCs w:val="0"/>
          <w:sz w:val="24"/>
          <w:szCs w:val="24"/>
          <w:lang w:val="en-US" w:eastAsia="zh-CN"/>
        </w:rPr>
        <w:t>应尽量避免反射光对附近建筑物引起光污染。</w:t>
      </w:r>
    </w:p>
    <w:p>
      <w:pPr>
        <w:numPr>
          <w:ilvl w:val="0"/>
          <w:numId w:val="0"/>
        </w:numPr>
        <w:rPr>
          <w:rFonts w:hint="eastAsia"/>
          <w:b w:val="0"/>
          <w:bCs w:val="0"/>
          <w:sz w:val="24"/>
          <w:szCs w:val="24"/>
          <w:lang w:val="en-US" w:eastAsia="zh-CN"/>
        </w:rPr>
      </w:pPr>
      <w:r>
        <w:rPr>
          <w:rFonts w:hint="eastAsia"/>
          <w:b w:val="0"/>
          <w:bCs w:val="0"/>
          <w:sz w:val="24"/>
          <w:szCs w:val="24"/>
          <w:lang w:val="en-US" w:eastAsia="zh-CN"/>
        </w:rPr>
        <w:t>（3）采购的太阳能热水器的热性能、耐压、电气强度、外观等检测项目，应依据GB/T 19141</w:t>
      </w:r>
    </w:p>
    <w:p>
      <w:pPr>
        <w:numPr>
          <w:ilvl w:val="0"/>
          <w:numId w:val="0"/>
        </w:numPr>
        <w:rPr>
          <w:rFonts w:hint="eastAsia"/>
          <w:b w:val="0"/>
          <w:bCs w:val="0"/>
          <w:sz w:val="24"/>
          <w:szCs w:val="24"/>
          <w:lang w:val="en-US" w:eastAsia="zh-CN"/>
        </w:rPr>
      </w:pPr>
      <w:r>
        <w:rPr>
          <w:rFonts w:hint="eastAsia"/>
          <w:b w:val="0"/>
          <w:bCs w:val="0"/>
          <w:sz w:val="24"/>
          <w:szCs w:val="24"/>
          <w:lang w:val="en-US" w:eastAsia="zh-CN"/>
        </w:rPr>
        <w:t>《家用太阳热水系统技术条件》标准要求。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（4）宜选用合理先进的控制系统，控制主机启停、水箱补水、用户用水等；系统用水箱和管道需做好保温防冻措施。</w:t>
      </w:r>
    </w:p>
    <w:p>
      <w:pPr>
        <w:numPr>
          <w:ilvl w:val="0"/>
          <w:numId w:val="0"/>
        </w:numPr>
        <w:rPr>
          <w:rFonts w:hint="eastAsia"/>
          <w:b/>
          <w:bCs/>
          <w:sz w:val="24"/>
          <w:szCs w:val="24"/>
          <w:lang w:val="en-US" w:eastAsia="zh-CN"/>
        </w:rPr>
      </w:pPr>
      <w:r>
        <w:rPr>
          <w:rFonts w:hint="eastAsia"/>
          <w:b/>
          <w:bCs/>
          <w:sz w:val="24"/>
          <w:szCs w:val="24"/>
          <w:lang w:val="en-US" w:eastAsia="zh-CN"/>
        </w:rPr>
        <w:t>7.3.3 空气能热水技术指标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（1）空气能热水器利用空气能，不需要阳光，因此放在室内或室外均可，温度在零摄氏度以上，就可以24小时全天候承压运行；部分空气能（源）热泵热水器参数见下表。</w:t>
      </w:r>
    </w:p>
    <w:p>
      <w:pPr>
        <w:numPr>
          <w:ilvl w:val="0"/>
          <w:numId w:val="0"/>
        </w:numPr>
        <w:ind w:firstLine="2160" w:firstLineChars="900"/>
        <w:rPr>
          <w:rFonts w:hint="eastAsia"/>
          <w:b w:val="0"/>
          <w:bCs w:val="0"/>
          <w:sz w:val="24"/>
          <w:szCs w:val="24"/>
          <w:lang w:val="en-US" w:eastAsia="zh-CN"/>
        </w:rPr>
      </w:pPr>
      <w:r>
        <w:rPr>
          <w:rFonts w:hint="eastAsia"/>
          <w:b w:val="0"/>
          <w:bCs w:val="0"/>
          <w:sz w:val="24"/>
          <w:szCs w:val="24"/>
          <w:lang w:val="en-US" w:eastAsia="zh-CN"/>
        </w:rPr>
        <w:t>表 7.2 部分空气能（源）热泵热水器参数———省略</w:t>
      </w:r>
    </w:p>
    <w:p>
      <w:pPr>
        <w:numPr>
          <w:ilvl w:val="0"/>
          <w:numId w:val="0"/>
        </w:numPr>
        <w:rPr>
          <w:rFonts w:hint="eastAsia"/>
          <w:b w:val="0"/>
          <w:bCs w:val="0"/>
          <w:sz w:val="24"/>
          <w:szCs w:val="24"/>
          <w:lang w:val="en-US" w:eastAsia="zh-CN"/>
        </w:rPr>
      </w:pPr>
      <w:r>
        <w:rPr>
          <w:rFonts w:hint="eastAsia"/>
          <w:b w:val="0"/>
          <w:bCs w:val="0"/>
          <w:sz w:val="24"/>
          <w:szCs w:val="24"/>
          <w:lang w:val="en-US" w:eastAsia="zh-CN"/>
        </w:rPr>
        <w:t>（2）工程现场使用空气能热水器时，空气能热泵机组应尽可能布置在室外，进风和排风应通畅，避免造成气流短路。机组间的距离应保持在2米以上，机组与主体建筑或临建墙体（封闭遮挡类墙面或构件）间的距离应保持在3米以上；另外为避免排风短路，在机组上部不应设置挡雨棚之类的遮挡物；如果机组必须布置在室内，应采取提高风机静压的办法，接风管将排风排至室外。</w:t>
      </w:r>
    </w:p>
    <w:p>
      <w:pPr>
        <w:numPr>
          <w:ilvl w:val="0"/>
          <w:numId w:val="0"/>
        </w:numPr>
        <w:rPr>
          <w:rFonts w:hint="eastAsia"/>
          <w:b w:val="0"/>
          <w:bCs w:val="0"/>
          <w:sz w:val="24"/>
          <w:szCs w:val="24"/>
          <w:lang w:val="en-US" w:eastAsia="zh-CN"/>
        </w:rPr>
      </w:pPr>
      <w:r>
        <w:rPr>
          <w:rFonts w:hint="eastAsia"/>
          <w:b w:val="0"/>
          <w:bCs w:val="0"/>
          <w:sz w:val="24"/>
          <w:szCs w:val="24"/>
          <w:lang w:val="en-US" w:eastAsia="zh-CN"/>
        </w:rPr>
        <w:t>（3）宜选用合理先进的控制系统，控制主机启停、水箱补水、用户用水、以及其它辅助热源切入与退出；系统用水箱和管道需做好保温防冻措施。</w:t>
      </w:r>
    </w:p>
    <w:p>
      <w:pPr>
        <w:numPr>
          <w:ilvl w:val="0"/>
          <w:numId w:val="0"/>
        </w:numPr>
        <w:rPr>
          <w:rFonts w:hint="eastAsia"/>
          <w:b/>
          <w:bCs/>
          <w:sz w:val="24"/>
          <w:szCs w:val="24"/>
          <w:lang w:val="en-US" w:eastAsia="zh-CN"/>
        </w:rPr>
      </w:pPr>
      <w:r>
        <w:rPr>
          <w:rFonts w:hint="eastAsia"/>
          <w:b/>
          <w:bCs/>
          <w:sz w:val="24"/>
          <w:szCs w:val="24"/>
          <w:lang w:val="en-US" w:eastAsia="zh-CN"/>
        </w:rPr>
        <w:t>7.4 施工扬尘控制技术指标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扬尘控制指标应符合现行《建筑工程绿色施工规范》GB/T50905 中的相关要求。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地基与基础工程施工阶段施工现场 PM10/h 平均浓度不宜大于 150μg /m3 或工程所在区域的PM10/h 平均浓度的 120%；结构工程及装饰装修与机电安装工程施工阶段施工现场 PM10/h 平均浓度不宜大于 60μg/m3 或工程所在区域的 PM10/h 平均浓度的 120%。</w:t>
      </w:r>
    </w:p>
    <w:p>
      <w:pPr>
        <w:numPr>
          <w:ilvl w:val="0"/>
          <w:numId w:val="0"/>
        </w:numPr>
        <w:rPr>
          <w:rFonts w:hint="eastAsia"/>
          <w:b/>
          <w:bCs/>
          <w:sz w:val="24"/>
          <w:szCs w:val="24"/>
          <w:lang w:val="en-US" w:eastAsia="zh-CN"/>
        </w:rPr>
      </w:pPr>
      <w:r>
        <w:rPr>
          <w:rFonts w:hint="eastAsia"/>
          <w:b/>
          <w:bCs/>
          <w:sz w:val="24"/>
          <w:szCs w:val="24"/>
          <w:lang w:val="en-US" w:eastAsia="zh-CN"/>
        </w:rPr>
        <w:t>7.5 施工噪声控制技术指标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施工现场噪声应符合《建筑施工场界环境噪声排放标准》GB 12523 的规定，昼间≤70dB（A），夜间≤55 dB（A）。</w:t>
      </w:r>
    </w:p>
    <w:p>
      <w:pPr>
        <w:numPr>
          <w:ilvl w:val="0"/>
          <w:numId w:val="0"/>
        </w:numPr>
        <w:rPr>
          <w:rFonts w:hint="eastAsia"/>
          <w:b/>
          <w:bCs/>
          <w:sz w:val="24"/>
          <w:szCs w:val="24"/>
          <w:lang w:val="en-US" w:eastAsia="zh-CN"/>
        </w:rPr>
      </w:pPr>
      <w:r>
        <w:rPr>
          <w:rFonts w:hint="eastAsia"/>
          <w:b/>
          <w:bCs/>
          <w:sz w:val="24"/>
          <w:szCs w:val="24"/>
          <w:lang w:val="en-US" w:eastAsia="zh-CN"/>
        </w:rPr>
        <w:t>7.6 绿色施工在线监测评价技术指标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（1）绿色施工在线监测及评价内容包括数据记录、分析及量化评价和预警。</w:t>
      </w:r>
    </w:p>
    <w:p>
      <w:pPr>
        <w:numPr>
          <w:ilvl w:val="0"/>
          <w:numId w:val="0"/>
        </w:numPr>
        <w:rPr>
          <w:rFonts w:hint="eastAsia"/>
          <w:b w:val="0"/>
          <w:bCs w:val="0"/>
          <w:sz w:val="24"/>
          <w:szCs w:val="24"/>
          <w:lang w:val="en-US" w:eastAsia="zh-CN"/>
        </w:rPr>
      </w:pPr>
      <w:r>
        <w:rPr>
          <w:rFonts w:hint="eastAsia"/>
          <w:b w:val="0"/>
          <w:bCs w:val="0"/>
          <w:sz w:val="24"/>
          <w:szCs w:val="24"/>
          <w:lang w:val="en-US" w:eastAsia="zh-CN"/>
        </w:rPr>
        <w:t>（2）应符合《建筑施工场界环境噪声排放标准》GB 12523、《污水综合排放标准》GB 8978、</w:t>
      </w:r>
    </w:p>
    <w:p>
      <w:pPr>
        <w:numPr>
          <w:ilvl w:val="0"/>
          <w:numId w:val="0"/>
        </w:numPr>
        <w:rPr>
          <w:rFonts w:hint="eastAsia"/>
          <w:b w:val="0"/>
          <w:bCs w:val="0"/>
          <w:sz w:val="24"/>
          <w:szCs w:val="24"/>
          <w:lang w:val="en-US" w:eastAsia="zh-CN"/>
        </w:rPr>
      </w:pPr>
      <w:r>
        <w:rPr>
          <w:rFonts w:hint="eastAsia"/>
          <w:b w:val="0"/>
          <w:bCs w:val="0"/>
          <w:sz w:val="24"/>
          <w:szCs w:val="24"/>
          <w:lang w:val="en-US" w:eastAsia="zh-CN"/>
        </w:rPr>
        <w:t>《生活饮用水卫生标准》GB 5749；建筑垃圾产生量应不高于 350t/万 m2。施工现场扬尘监测主要为 PM2.5、PM10 的控制监测，PM10 不超过所在区域的 120%。</w:t>
      </w:r>
    </w:p>
    <w:p>
      <w:pPr>
        <w:numPr>
          <w:ilvl w:val="0"/>
          <w:numId w:val="0"/>
        </w:numPr>
        <w:rPr>
          <w:rFonts w:hint="eastAsia"/>
          <w:b w:val="0"/>
          <w:bCs w:val="0"/>
          <w:sz w:val="24"/>
          <w:szCs w:val="24"/>
          <w:lang w:val="en-US" w:eastAsia="zh-CN"/>
        </w:rPr>
      </w:pPr>
      <w:r>
        <w:rPr>
          <w:rFonts w:hint="eastAsia"/>
          <w:b w:val="0"/>
          <w:bCs w:val="0"/>
          <w:sz w:val="24"/>
          <w:szCs w:val="24"/>
          <w:lang w:val="en-US" w:eastAsia="zh-CN"/>
        </w:rPr>
        <w:t>（3）受风力影响较大的施工工序场地、机械设备（如塔吊）处风向、风速监测仪安装率宜达到 100%。</w:t>
      </w:r>
    </w:p>
    <w:p>
      <w:pPr>
        <w:numPr>
          <w:ilvl w:val="0"/>
          <w:numId w:val="0"/>
        </w:numPr>
        <w:rPr>
          <w:rFonts w:hint="eastAsia"/>
          <w:b w:val="0"/>
          <w:bCs w:val="0"/>
          <w:sz w:val="24"/>
          <w:szCs w:val="24"/>
          <w:lang w:val="en-US" w:eastAsia="zh-CN"/>
        </w:rPr>
      </w:pPr>
      <w:r>
        <w:rPr>
          <w:rFonts w:hint="eastAsia"/>
          <w:b w:val="0"/>
          <w:bCs w:val="0"/>
          <w:sz w:val="24"/>
          <w:szCs w:val="24"/>
          <w:lang w:val="en-US" w:eastAsia="zh-CN"/>
        </w:rPr>
        <w:t>（4）现场施工照明、办公区需安装高效节能灯具（如 LED）、声光智能开关，安装覆盖率宜</w:t>
      </w:r>
    </w:p>
    <w:p>
      <w:pPr>
        <w:numPr>
          <w:ilvl w:val="0"/>
          <w:numId w:val="0"/>
        </w:numPr>
        <w:rPr>
          <w:rFonts w:hint="eastAsia"/>
          <w:b w:val="0"/>
          <w:bCs w:val="0"/>
          <w:sz w:val="24"/>
          <w:szCs w:val="24"/>
          <w:lang w:val="en-US" w:eastAsia="zh-CN"/>
        </w:rPr>
      </w:pPr>
      <w:r>
        <w:rPr>
          <w:rFonts w:hint="eastAsia"/>
          <w:b w:val="0"/>
          <w:bCs w:val="0"/>
          <w:sz w:val="24"/>
          <w:szCs w:val="24"/>
          <w:lang w:val="en-US" w:eastAsia="zh-CN"/>
        </w:rPr>
        <w:t>达到 100%。</w:t>
      </w:r>
    </w:p>
    <w:p>
      <w:pPr>
        <w:numPr>
          <w:ilvl w:val="0"/>
          <w:numId w:val="0"/>
        </w:numPr>
        <w:rPr>
          <w:rFonts w:hint="eastAsia"/>
          <w:b w:val="0"/>
          <w:bCs w:val="0"/>
          <w:sz w:val="24"/>
          <w:szCs w:val="24"/>
          <w:lang w:val="en-US" w:eastAsia="zh-CN"/>
        </w:rPr>
      </w:pPr>
      <w:r>
        <w:rPr>
          <w:rFonts w:hint="eastAsia"/>
          <w:b w:val="0"/>
          <w:bCs w:val="0"/>
          <w:sz w:val="24"/>
          <w:szCs w:val="24"/>
          <w:lang w:val="en-US" w:eastAsia="zh-CN"/>
        </w:rPr>
        <w:t>（5）对于危险性较大的施工工序，远程监控安装率宜达到 100%。</w:t>
      </w:r>
    </w:p>
    <w:p>
      <w:pPr>
        <w:numPr>
          <w:ilvl w:val="0"/>
          <w:numId w:val="0"/>
        </w:numPr>
        <w:rPr>
          <w:rFonts w:hint="eastAsia"/>
          <w:b w:val="0"/>
          <w:bCs w:val="0"/>
          <w:sz w:val="24"/>
          <w:szCs w:val="24"/>
          <w:lang w:val="en-US" w:eastAsia="zh-CN"/>
        </w:rPr>
      </w:pPr>
      <w:r>
        <w:rPr>
          <w:rFonts w:hint="eastAsia"/>
          <w:b w:val="0"/>
          <w:bCs w:val="0"/>
          <w:sz w:val="24"/>
          <w:szCs w:val="24"/>
          <w:lang w:val="en-US" w:eastAsia="zh-CN"/>
        </w:rPr>
        <w:t>（6）材料进场时间、用量、验收情况实时录入监测系统，保证远程实时接收监测结果。</w:t>
      </w:r>
    </w:p>
    <w:p>
      <w:pPr>
        <w:numPr>
          <w:ilvl w:val="0"/>
          <w:numId w:val="0"/>
        </w:numPr>
        <w:rPr>
          <w:rFonts w:hint="eastAsia"/>
          <w:b/>
          <w:bCs/>
          <w:sz w:val="24"/>
          <w:szCs w:val="24"/>
          <w:lang w:val="en-US" w:eastAsia="zh-CN"/>
        </w:rPr>
      </w:pPr>
      <w:r>
        <w:rPr>
          <w:rFonts w:hint="eastAsia"/>
          <w:b/>
          <w:bCs/>
          <w:sz w:val="24"/>
          <w:szCs w:val="24"/>
          <w:lang w:val="en-US" w:eastAsia="zh-CN"/>
        </w:rPr>
        <w:t>7.7 工具式定型化临时设施技术指标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工具式定型化临时设施应工具化、定型化、标准化，具有装拆方便，可重复利用和安全可靠的性能；防护栏杆体系、防护棚经检测防护有效，符合设计安全要求。预制混凝土道路板适用于建设工程临时道路地基弹性模量≥40Mpa，承受载重≤40t施工运输车辆或单个轮压≤7t的施工运输车辆路基上铺设使用；其他材质的装配式临时道路的承载力应符合设计要求。</w:t>
      </w:r>
    </w:p>
    <w:p>
      <w:pPr>
        <w:numPr>
          <w:ilvl w:val="0"/>
          <w:numId w:val="0"/>
        </w:numPr>
        <w:rPr>
          <w:rFonts w:hint="eastAsia"/>
          <w:b/>
          <w:bCs/>
          <w:sz w:val="24"/>
          <w:szCs w:val="24"/>
          <w:lang w:val="en-US" w:eastAsia="zh-CN"/>
        </w:rPr>
      </w:pPr>
      <w:r>
        <w:rPr>
          <w:rFonts w:hint="eastAsia"/>
          <w:b/>
          <w:bCs/>
          <w:sz w:val="24"/>
          <w:szCs w:val="24"/>
          <w:lang w:val="en-US" w:eastAsia="zh-CN"/>
        </w:rPr>
        <w:t>7.8 垃圾管道垂直运输技术指标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垃圾管道垂直运输技术符合《建筑工程绿色施工规范》GB/T 50905-2014、《建筑工程绿色施工评价标准》GB/T 50604-2010 和《建筑施工现场环境与卫生标准》JGJ 146-2004 的标准要求。</w:t>
      </w:r>
    </w:p>
    <w:p>
      <w:pPr>
        <w:numPr>
          <w:ilvl w:val="0"/>
          <w:numId w:val="0"/>
        </w:numPr>
        <w:rPr>
          <w:rFonts w:hint="eastAsia"/>
          <w:b/>
          <w:bCs/>
          <w:sz w:val="24"/>
          <w:szCs w:val="24"/>
          <w:lang w:val="en-US" w:eastAsia="zh-CN"/>
        </w:rPr>
      </w:pPr>
      <w:r>
        <w:rPr>
          <w:rFonts w:hint="eastAsia"/>
          <w:b/>
          <w:bCs/>
          <w:sz w:val="24"/>
          <w:szCs w:val="24"/>
          <w:lang w:val="en-US" w:eastAsia="zh-CN"/>
        </w:rPr>
        <w:t>7.9 透水混凝土与植生混凝土应用技术</w:t>
      </w:r>
    </w:p>
    <w:p>
      <w:pPr>
        <w:numPr>
          <w:ilvl w:val="0"/>
          <w:numId w:val="0"/>
        </w:numPr>
        <w:rPr>
          <w:rFonts w:hint="eastAsia"/>
          <w:b/>
          <w:bCs/>
          <w:sz w:val="24"/>
          <w:szCs w:val="24"/>
          <w:lang w:val="en-US" w:eastAsia="zh-CN"/>
        </w:rPr>
      </w:pPr>
      <w:r>
        <w:rPr>
          <w:rFonts w:hint="eastAsia"/>
          <w:b/>
          <w:bCs/>
          <w:sz w:val="24"/>
          <w:szCs w:val="24"/>
          <w:lang w:val="en-US" w:eastAsia="zh-CN"/>
        </w:rPr>
        <w:t>7.9.1 透水混凝土指标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透水混凝土拌合物的坍落度为 10 mm~50mm, 透水混凝土的孔隙率一般为 10%～25%，透水系数为 1mm/s~5mm/s, 抗压强度在 10MPa～30MPa；应用于路面不同的层面时，孔隙率要求不同, 从面层到结构层再到透水基层，孔隙率依次增大；冻融的环境下其抗冻性不低于 D100。</w:t>
      </w:r>
    </w:p>
    <w:p>
      <w:pPr>
        <w:numPr>
          <w:ilvl w:val="0"/>
          <w:numId w:val="0"/>
        </w:numPr>
        <w:rPr>
          <w:rFonts w:hint="eastAsia"/>
          <w:b/>
          <w:bCs/>
          <w:sz w:val="24"/>
          <w:szCs w:val="24"/>
          <w:lang w:val="en-US" w:eastAsia="zh-CN"/>
        </w:rPr>
      </w:pPr>
      <w:r>
        <w:rPr>
          <w:rFonts w:hint="eastAsia"/>
          <w:b/>
          <w:bCs/>
          <w:sz w:val="24"/>
          <w:szCs w:val="24"/>
          <w:lang w:val="en-US" w:eastAsia="zh-CN"/>
        </w:rPr>
        <w:t>7.9.2 植生混凝土指标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植生混凝土的孔隙率为 25%~35%，绝大部分为贯通孔隙；抗压强度要达到 10MPa 以上；屋面植生混凝土的抗压强度在 3.5MPa 以上，孔隙率 25%~40%。</w:t>
      </w:r>
    </w:p>
    <w:p>
      <w:pPr>
        <w:numPr>
          <w:ilvl w:val="0"/>
          <w:numId w:val="0"/>
        </w:numPr>
        <w:rPr>
          <w:rFonts w:hint="eastAsia"/>
          <w:b/>
          <w:bCs/>
          <w:sz w:val="24"/>
          <w:szCs w:val="24"/>
          <w:lang w:val="en-US" w:eastAsia="zh-CN"/>
        </w:rPr>
      </w:pPr>
      <w:r>
        <w:rPr>
          <w:rFonts w:hint="eastAsia"/>
          <w:b/>
          <w:bCs/>
          <w:sz w:val="24"/>
          <w:szCs w:val="24"/>
          <w:lang w:val="en-US" w:eastAsia="zh-CN"/>
        </w:rPr>
        <w:t>7.10 混凝土楼地面一次成型技术指标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（1）冲筋：根据墙面弹线标高和混凝土面层厚度用 L40×63×4 的角钢冲筋，并用作混凝土地面的侧模，角钢用膨胀螺栓（@1000mm）固定在结构板上，用激光水准仪进行二次抄平。</w:t>
      </w:r>
    </w:p>
    <w:p>
      <w:pPr>
        <w:numPr>
          <w:ilvl w:val="0"/>
          <w:numId w:val="0"/>
        </w:numPr>
        <w:rPr>
          <w:rFonts w:hint="eastAsia"/>
          <w:b w:val="0"/>
          <w:bCs w:val="0"/>
          <w:sz w:val="24"/>
          <w:szCs w:val="24"/>
          <w:lang w:val="en-US" w:eastAsia="zh-CN"/>
        </w:rPr>
      </w:pPr>
      <w:r>
        <w:rPr>
          <w:rFonts w:hint="eastAsia"/>
          <w:b w:val="0"/>
          <w:bCs w:val="0"/>
          <w:sz w:val="24"/>
          <w:szCs w:val="24"/>
          <w:lang w:val="en-US" w:eastAsia="zh-CN"/>
        </w:rPr>
        <w:t>（2）铺撒耐磨混合料：混合料撒布的时机随气候、温度和混凝土配合比等因素而变化。撒布过早会使混合料沉入混凝土中而失去效果；撒布太晚混凝土已凝固，会失去粘结力，使混合料无法与混凝土粘合而造成剥离。判别混合料撒布时间的方法是脚踩其上，约下沉 5mm 时，即可开始第一次撒布施工。墙、门、柱和模板等边线处水分消失较快，宜优先撒布施工，以防因失水而降低效果。第一次撒布量是全部用量的 2/3，拌合应均匀落下，不能用力抛而致分离，撒布后用木抹子抹平。拌合料吸收一定的水分后，再用磨光机除去转盘碾磨分散并与基层混凝土浆结合在一起。第二次撒布时，先用靠尺或平直刮杆衡量水平度，并调整第一撒布不平处，第二次方向应于第一次垂直。第二次撒布量为全部用量的 1/3，撒布后立即抹平，磨光，并重复磨光机作业至少两次，磨光机作业时应纵横相交错进行，均匀有序，防止材料聚集。</w:t>
      </w:r>
    </w:p>
    <w:p>
      <w:pPr>
        <w:numPr>
          <w:ilvl w:val="0"/>
          <w:numId w:val="0"/>
        </w:numPr>
        <w:rPr>
          <w:rFonts w:hint="eastAsia"/>
          <w:b w:val="0"/>
          <w:bCs w:val="0"/>
          <w:sz w:val="24"/>
          <w:szCs w:val="24"/>
          <w:lang w:val="en-US" w:eastAsia="zh-CN"/>
        </w:rPr>
      </w:pPr>
      <w:r>
        <w:rPr>
          <w:rFonts w:hint="eastAsia"/>
          <w:b w:val="0"/>
          <w:bCs w:val="0"/>
          <w:sz w:val="24"/>
          <w:szCs w:val="24"/>
          <w:lang w:val="en-US" w:eastAsia="zh-CN"/>
        </w:rPr>
        <w:t>（3）表面修饰。磨光机作业后面层仍存在磨纹较凌乱，为消除磨纹最后采用薄钢抹子对面层进行有序方向的人工压光，完成修饰工序。</w:t>
      </w:r>
    </w:p>
    <w:p>
      <w:pPr>
        <w:numPr>
          <w:ilvl w:val="0"/>
          <w:numId w:val="0"/>
        </w:numPr>
        <w:rPr>
          <w:rFonts w:hint="eastAsia"/>
          <w:b w:val="0"/>
          <w:bCs w:val="0"/>
          <w:sz w:val="24"/>
          <w:szCs w:val="24"/>
          <w:lang w:val="en-US" w:eastAsia="zh-CN"/>
        </w:rPr>
      </w:pPr>
      <w:r>
        <w:rPr>
          <w:rFonts w:hint="eastAsia"/>
          <w:b w:val="0"/>
          <w:bCs w:val="0"/>
          <w:sz w:val="24"/>
          <w:szCs w:val="24"/>
          <w:lang w:val="en-US" w:eastAsia="zh-CN"/>
        </w:rPr>
        <w:t>（4）养护及模板拆除。地面面层施工完成 24h 后进行洒水养护，在常温条件下连续养护不得少于 7d；养护期间严禁上人；施工完成 24h 后进行角钢侧模拆除，应注意不得损伤地面边缘。</w:t>
      </w:r>
    </w:p>
    <w:p>
      <w:pPr>
        <w:numPr>
          <w:ilvl w:val="0"/>
          <w:numId w:val="0"/>
        </w:numPr>
        <w:rPr>
          <w:rFonts w:hint="eastAsia"/>
          <w:b w:val="0"/>
          <w:bCs w:val="0"/>
          <w:sz w:val="24"/>
          <w:szCs w:val="24"/>
          <w:lang w:val="en-US" w:eastAsia="zh-CN"/>
        </w:rPr>
      </w:pPr>
      <w:r>
        <w:rPr>
          <w:rFonts w:hint="eastAsia"/>
          <w:b w:val="0"/>
          <w:bCs w:val="0"/>
          <w:sz w:val="24"/>
          <w:szCs w:val="24"/>
          <w:lang w:val="en-US" w:eastAsia="zh-CN"/>
        </w:rPr>
        <w:t>（5）切割分隔缝。为避免结构柱周围地面开裂，必须在结构柱等应力集中处设置分格缝，缝宽 5mm，分隔缝在地面混凝土强度达到 70%后（完工后 5d 左右），用砂轮切割机切割。柱距大于 6m 的地面须在轴线中切割一条分格缝，切割深度应至少为地面厚度的 1/5。填缝材料采用弹性树脂等材料。</w:t>
      </w:r>
    </w:p>
    <w:p>
      <w:pPr>
        <w:numPr>
          <w:ilvl w:val="0"/>
          <w:numId w:val="0"/>
        </w:numPr>
        <w:rPr>
          <w:rFonts w:hint="eastAsia"/>
          <w:b/>
          <w:bCs/>
          <w:sz w:val="24"/>
          <w:szCs w:val="24"/>
          <w:lang w:val="en-US" w:eastAsia="zh-CN"/>
        </w:rPr>
      </w:pPr>
      <w:r>
        <w:rPr>
          <w:rFonts w:hint="eastAsia"/>
          <w:b/>
          <w:bCs/>
          <w:sz w:val="24"/>
          <w:szCs w:val="24"/>
          <w:lang w:val="en-US" w:eastAsia="zh-CN"/>
        </w:rPr>
        <w:t>7.11 建筑物墙体免抹灰技术指标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（1）现浇混凝土墙体是通过材料配制、细部设计、模板选择及安拆，混凝土拌制、浇筑、养护、成品保护等诸多技术措施，使现浇混凝土墙达到准清水免抹灰效果。</w:t>
      </w:r>
    </w:p>
    <w:p>
      <w:pPr>
        <w:numPr>
          <w:ilvl w:val="0"/>
          <w:numId w:val="0"/>
        </w:numPr>
        <w:rPr>
          <w:rFonts w:hint="eastAsia"/>
          <w:b w:val="0"/>
          <w:bCs w:val="0"/>
          <w:sz w:val="24"/>
          <w:szCs w:val="24"/>
          <w:lang w:val="en-US" w:eastAsia="zh-CN"/>
        </w:rPr>
      </w:pPr>
      <w:r>
        <w:rPr>
          <w:rFonts w:hint="eastAsia"/>
          <w:b w:val="0"/>
          <w:bCs w:val="0"/>
          <w:sz w:val="24"/>
          <w:szCs w:val="24"/>
          <w:lang w:val="en-US" w:eastAsia="zh-CN"/>
        </w:rPr>
        <w:t>准清水混凝土墙技术要求参见下表。</w:t>
      </w:r>
    </w:p>
    <w:p>
      <w:pPr>
        <w:numPr>
          <w:ilvl w:val="0"/>
          <w:numId w:val="0"/>
        </w:numPr>
        <w:ind w:firstLine="2108" w:firstLineChars="1000"/>
        <w:rPr>
          <w:rFonts w:hint="eastAsia"/>
          <w:b/>
          <w:bCs/>
          <w:sz w:val="21"/>
          <w:szCs w:val="21"/>
          <w:lang w:val="en-US" w:eastAsia="zh-CN"/>
        </w:rPr>
      </w:pPr>
      <w:r>
        <w:rPr>
          <w:rFonts w:hint="eastAsia"/>
          <w:b/>
          <w:bCs/>
          <w:sz w:val="21"/>
          <w:szCs w:val="21"/>
          <w:lang w:val="en-US" w:eastAsia="zh-CN"/>
        </w:rPr>
        <w:t>表 7.4 准清水混凝土技术要求</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80"/>
        <w:gridCol w:w="1525"/>
        <w:gridCol w:w="1953"/>
        <w:gridCol w:w="1953"/>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项次</w:t>
            </w:r>
          </w:p>
        </w:tc>
        <w:tc>
          <w:tcPr>
            <w:tcW w:w="3205" w:type="dxa"/>
            <w:gridSpan w:val="2"/>
          </w:tcPr>
          <w:p>
            <w:pPr>
              <w:numPr>
                <w:ilvl w:val="0"/>
                <w:numId w:val="0"/>
              </w:numPr>
              <w:ind w:firstLine="960" w:firstLineChars="400"/>
              <w:rPr>
                <w:rFonts w:hint="eastAsia"/>
                <w:b w:val="0"/>
                <w:bCs w:val="0"/>
                <w:sz w:val="24"/>
                <w:szCs w:val="24"/>
                <w:vertAlign w:val="baseline"/>
                <w:lang w:val="en-US" w:eastAsia="zh-CN"/>
              </w:rPr>
            </w:pPr>
            <w:r>
              <w:rPr>
                <w:rFonts w:hint="eastAsia"/>
                <w:b w:val="0"/>
                <w:bCs w:val="0"/>
                <w:sz w:val="24"/>
                <w:szCs w:val="24"/>
                <w:vertAlign w:val="baseline"/>
                <w:lang w:val="en-US" w:eastAsia="zh-CN"/>
              </w:rPr>
              <w:t>项目</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允许偏差mm</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检查方法</w:t>
            </w:r>
          </w:p>
        </w:tc>
        <w:tc>
          <w:tcPr>
            <w:tcW w:w="1953" w:type="dxa"/>
          </w:tcPr>
          <w:p>
            <w:pPr>
              <w:numPr>
                <w:ilvl w:val="0"/>
                <w:numId w:val="0"/>
              </w:numPr>
              <w:ind w:firstLine="480" w:firstLineChars="200"/>
              <w:rPr>
                <w:rFonts w:hint="eastAsia"/>
                <w:b w:val="0"/>
                <w:bCs w:val="0"/>
                <w:sz w:val="24"/>
                <w:szCs w:val="24"/>
                <w:vertAlign w:val="baseline"/>
                <w:lang w:val="en-US" w:eastAsia="zh-CN"/>
              </w:rPr>
            </w:pPr>
            <w:r>
              <w:rPr>
                <w:rFonts w:hint="eastAsia"/>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轴线位移（柱、墙、梁）</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尺量</w:t>
            </w:r>
          </w:p>
        </w:tc>
        <w:tc>
          <w:tcPr>
            <w:tcW w:w="1953"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表面平整密实、无明显裂缝，无粉化物，无起砂、蜂窝、麻面和孔洞，气泡尺寸不</w:t>
            </w:r>
          </w:p>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大于 10mm ，分散均匀。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截面尺寸（柱、墙、梁）</w:t>
            </w:r>
          </w:p>
        </w:tc>
        <w:tc>
          <w:tcPr>
            <w:tcW w:w="1953" w:type="dxa"/>
          </w:tcPr>
          <w:p>
            <w:pPr>
              <w:numPr>
                <w:ilvl w:val="0"/>
                <w:numId w:val="0"/>
              </w:numPr>
              <w:rPr>
                <w:rFonts w:hint="eastAsia"/>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w:t>
            </w:r>
            <w:r>
              <w:rPr>
                <w:rFonts w:hint="eastAsia"/>
                <w:b w:val="0"/>
                <w:bCs w:val="0"/>
                <w:sz w:val="24"/>
                <w:szCs w:val="24"/>
                <w:vertAlign w:val="baseline"/>
                <w:lang w:val="en-US" w:eastAsia="zh-CN"/>
              </w:rPr>
              <w:t>2</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尺量</w:t>
            </w: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700"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1680"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垂直度</w:t>
            </w:r>
          </w:p>
        </w:tc>
        <w:tc>
          <w:tcPr>
            <w:tcW w:w="1525"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层高</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1953"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坠线</w:t>
            </w: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700" w:type="dxa"/>
            <w:vMerge w:val="continue"/>
          </w:tcPr>
          <w:p>
            <w:pPr>
              <w:numPr>
                <w:ilvl w:val="0"/>
                <w:numId w:val="0"/>
              </w:numPr>
              <w:rPr>
                <w:rFonts w:hint="eastAsia"/>
                <w:b w:val="0"/>
                <w:bCs w:val="0"/>
                <w:sz w:val="24"/>
                <w:szCs w:val="24"/>
                <w:vertAlign w:val="baseline"/>
                <w:lang w:val="en-US" w:eastAsia="zh-CN"/>
              </w:rPr>
            </w:pPr>
          </w:p>
        </w:tc>
        <w:tc>
          <w:tcPr>
            <w:tcW w:w="1680" w:type="dxa"/>
            <w:vMerge w:val="continue"/>
          </w:tcPr>
          <w:p>
            <w:pPr>
              <w:numPr>
                <w:ilvl w:val="0"/>
                <w:numId w:val="0"/>
              </w:numPr>
              <w:rPr>
                <w:rFonts w:hint="eastAsia"/>
                <w:b w:val="0"/>
                <w:bCs w:val="0"/>
                <w:sz w:val="24"/>
                <w:szCs w:val="24"/>
                <w:vertAlign w:val="baseline"/>
                <w:lang w:val="en-US" w:eastAsia="zh-CN"/>
              </w:rPr>
            </w:pPr>
          </w:p>
        </w:tc>
        <w:tc>
          <w:tcPr>
            <w:tcW w:w="1525"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全高</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30</w:t>
            </w:r>
          </w:p>
        </w:tc>
        <w:tc>
          <w:tcPr>
            <w:tcW w:w="1953" w:type="dxa"/>
            <w:vMerge w:val="continue"/>
          </w:tcPr>
          <w:p>
            <w:pPr>
              <w:numPr>
                <w:ilvl w:val="0"/>
                <w:numId w:val="0"/>
              </w:numPr>
              <w:rPr>
                <w:rFonts w:hint="eastAsia"/>
                <w:b w:val="0"/>
                <w:bCs w:val="0"/>
                <w:sz w:val="24"/>
                <w:szCs w:val="24"/>
                <w:vertAlign w:val="baseline"/>
                <w:lang w:val="en-US" w:eastAsia="zh-CN"/>
              </w:rPr>
            </w:pP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表面平整度</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2m靠尺、塞尺</w:t>
            </w: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角、线垂直</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线坠</w:t>
            </w: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预留洞口中心线位移</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拉线、尺量</w:t>
            </w: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7</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接缝错台</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尺量</w:t>
            </w:r>
          </w:p>
        </w:tc>
        <w:tc>
          <w:tcPr>
            <w:tcW w:w="1953" w:type="dxa"/>
            <w:vMerge w:val="continue"/>
          </w:tcPr>
          <w:p>
            <w:pPr>
              <w:numPr>
                <w:ilvl w:val="0"/>
                <w:numId w:val="0"/>
              </w:numP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8</w:t>
            </w:r>
          </w:p>
        </w:tc>
        <w:tc>
          <w:tcPr>
            <w:tcW w:w="3205"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阴阳角方正</w:t>
            </w:r>
          </w:p>
        </w:tc>
        <w:tc>
          <w:tcPr>
            <w:tcW w:w="1953"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1953" w:type="dxa"/>
          </w:tcPr>
          <w:p>
            <w:pPr>
              <w:numPr>
                <w:ilvl w:val="0"/>
                <w:numId w:val="0"/>
              </w:numPr>
              <w:rPr>
                <w:rFonts w:hint="eastAsia"/>
                <w:b w:val="0"/>
                <w:bCs w:val="0"/>
                <w:sz w:val="24"/>
                <w:szCs w:val="24"/>
                <w:vertAlign w:val="baseline"/>
                <w:lang w:val="en-US" w:eastAsia="zh-CN"/>
              </w:rPr>
            </w:pPr>
          </w:p>
        </w:tc>
        <w:tc>
          <w:tcPr>
            <w:tcW w:w="1953" w:type="dxa"/>
            <w:vMerge w:val="continue"/>
          </w:tcPr>
          <w:p>
            <w:pPr>
              <w:numPr>
                <w:ilvl w:val="0"/>
                <w:numId w:val="0"/>
              </w:numPr>
              <w:rPr>
                <w:rFonts w:hint="eastAsia"/>
                <w:b w:val="0"/>
                <w:bCs w:val="0"/>
                <w:sz w:val="24"/>
                <w:szCs w:val="24"/>
                <w:vertAlign w:val="baseline"/>
                <w:lang w:val="en-US" w:eastAsia="zh-CN"/>
              </w:rPr>
            </w:pPr>
          </w:p>
        </w:tc>
      </w:tr>
    </w:tbl>
    <w:p>
      <w:pPr>
        <w:numPr>
          <w:ilvl w:val="0"/>
          <w:numId w:val="0"/>
        </w:numPr>
        <w:rPr>
          <w:rFonts w:hint="eastAsia"/>
          <w:b w:val="0"/>
          <w:bCs w:val="0"/>
          <w:sz w:val="24"/>
          <w:szCs w:val="24"/>
          <w:lang w:val="en-US" w:eastAsia="zh-CN"/>
        </w:rPr>
      </w:pPr>
    </w:p>
    <w:p>
      <w:pPr>
        <w:numPr>
          <w:ilvl w:val="0"/>
          <w:numId w:val="0"/>
        </w:numPr>
        <w:rPr>
          <w:rFonts w:hint="eastAsia"/>
          <w:b/>
          <w:bCs/>
          <w:sz w:val="24"/>
          <w:szCs w:val="24"/>
          <w:lang w:val="en-US" w:eastAsia="zh-CN"/>
        </w:rPr>
      </w:pPr>
      <w:r>
        <w:rPr>
          <w:rFonts w:hint="eastAsia"/>
          <w:b w:val="0"/>
          <w:bCs w:val="0"/>
          <w:sz w:val="24"/>
          <w:szCs w:val="24"/>
          <w:lang w:val="en-US" w:eastAsia="zh-CN"/>
        </w:rPr>
        <w:t>（2）新型砌筑免抹灰墙体技术要求参见表 7.5</w:t>
      </w:r>
      <w:r>
        <w:rPr>
          <w:rFonts w:hint="eastAsia"/>
          <w:b/>
          <w:bCs/>
          <w:sz w:val="24"/>
          <w:szCs w:val="24"/>
          <w:lang w:val="en-US" w:eastAsia="zh-CN"/>
        </w:rPr>
        <w:t>。</w:t>
      </w:r>
    </w:p>
    <w:p>
      <w:pPr>
        <w:numPr>
          <w:ilvl w:val="0"/>
          <w:numId w:val="0"/>
        </w:numPr>
        <w:ind w:firstLine="2108" w:firstLineChars="1000"/>
        <w:rPr>
          <w:rFonts w:hint="eastAsia"/>
          <w:b/>
          <w:bCs/>
          <w:sz w:val="21"/>
          <w:szCs w:val="21"/>
          <w:lang w:val="en-US" w:eastAsia="zh-CN"/>
        </w:rPr>
      </w:pPr>
      <w:r>
        <w:rPr>
          <w:rFonts w:hint="eastAsia"/>
          <w:b/>
          <w:bCs/>
          <w:sz w:val="21"/>
          <w:szCs w:val="21"/>
          <w:lang w:val="en-US" w:eastAsia="zh-CN"/>
        </w:rPr>
        <w:t>表 7.5 新型砌筑墙技术要求</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712"/>
        <w:gridCol w:w="1476"/>
        <w:gridCol w:w="910"/>
        <w:gridCol w:w="2282"/>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lang w:val="en-US" w:eastAsia="zh-CN"/>
              </w:rPr>
              <w:t>项次</w:t>
            </w:r>
          </w:p>
        </w:tc>
        <w:tc>
          <w:tcPr>
            <w:tcW w:w="271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项目</w:t>
            </w:r>
          </w:p>
        </w:tc>
        <w:tc>
          <w:tcPr>
            <w:tcW w:w="2386" w:type="dxa"/>
            <w:gridSpan w:val="2"/>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允许偏差mm</w:t>
            </w:r>
          </w:p>
        </w:tc>
        <w:tc>
          <w:tcPr>
            <w:tcW w:w="2282"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检查方法</w:t>
            </w:r>
          </w:p>
        </w:tc>
        <w:tc>
          <w:tcPr>
            <w:tcW w:w="1624"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760"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2712"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砌块尺寸允许偏</w:t>
            </w:r>
            <w:r>
              <w:rPr>
                <w:rFonts w:hint="eastAsia"/>
                <w:b/>
                <w:bCs/>
                <w:sz w:val="24"/>
                <w:szCs w:val="24"/>
                <w:vertAlign w:val="baseline"/>
                <w:lang w:val="en-US" w:eastAsia="zh-CN"/>
              </w:rPr>
              <w:t>差</w:t>
            </w:r>
          </w:p>
        </w:tc>
        <w:tc>
          <w:tcPr>
            <w:tcW w:w="1476"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长度</w:t>
            </w:r>
          </w:p>
        </w:tc>
        <w:tc>
          <w:tcPr>
            <w:tcW w:w="910" w:type="dxa"/>
          </w:tcPr>
          <w:p>
            <w:pPr>
              <w:numPr>
                <w:ilvl w:val="0"/>
                <w:numId w:val="0"/>
              </w:numPr>
              <w:rPr>
                <w:rFonts w:hint="eastAsia"/>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w:t>
            </w:r>
            <w:r>
              <w:rPr>
                <w:rFonts w:hint="eastAsia"/>
                <w:b w:val="0"/>
                <w:bCs w:val="0"/>
                <w:sz w:val="24"/>
                <w:szCs w:val="24"/>
                <w:vertAlign w:val="baseline"/>
                <w:lang w:val="en-US" w:eastAsia="zh-CN"/>
              </w:rPr>
              <w:t>2</w:t>
            </w:r>
          </w:p>
        </w:tc>
        <w:tc>
          <w:tcPr>
            <w:tcW w:w="2282" w:type="dxa"/>
            <w:vMerge w:val="restart"/>
          </w:tcPr>
          <w:p>
            <w:pPr>
              <w:numPr>
                <w:ilvl w:val="0"/>
                <w:numId w:val="0"/>
              </w:numPr>
              <w:rPr>
                <w:rFonts w:hint="eastAsia"/>
                <w:b w:val="0"/>
                <w:bCs w:val="0"/>
                <w:sz w:val="24"/>
                <w:szCs w:val="24"/>
                <w:vertAlign w:val="baseline"/>
                <w:lang w:val="en-US" w:eastAsia="zh-CN"/>
              </w:rPr>
            </w:pPr>
          </w:p>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w:t>
            </w:r>
          </w:p>
        </w:tc>
        <w:tc>
          <w:tcPr>
            <w:tcW w:w="1624" w:type="dxa"/>
            <w:vMerge w:val="restart"/>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新型砌筑是采用粘接砂浆砌筑的墙体，砌块尺寸偏差为 1.5～2mm，灰缝</w:t>
            </w:r>
          </w:p>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为 2～3mm。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60" w:type="dxa"/>
            <w:vMerge w:val="continue"/>
          </w:tcPr>
          <w:p>
            <w:pPr>
              <w:numPr>
                <w:ilvl w:val="0"/>
                <w:numId w:val="0"/>
              </w:numPr>
              <w:rPr>
                <w:rFonts w:hint="eastAsia"/>
                <w:b w:val="0"/>
                <w:bCs w:val="0"/>
                <w:sz w:val="24"/>
                <w:szCs w:val="24"/>
                <w:vertAlign w:val="baseline"/>
                <w:lang w:val="en-US" w:eastAsia="zh-CN"/>
              </w:rPr>
            </w:pPr>
          </w:p>
        </w:tc>
        <w:tc>
          <w:tcPr>
            <w:tcW w:w="2712" w:type="dxa"/>
            <w:vMerge w:val="continue"/>
          </w:tcPr>
          <w:p>
            <w:pPr>
              <w:numPr>
                <w:ilvl w:val="0"/>
                <w:numId w:val="0"/>
              </w:numPr>
              <w:rPr>
                <w:rFonts w:hint="eastAsia"/>
                <w:b w:val="0"/>
                <w:bCs w:val="0"/>
                <w:sz w:val="24"/>
                <w:szCs w:val="24"/>
                <w:vertAlign w:val="baseline"/>
                <w:lang w:val="en-US" w:eastAsia="zh-CN"/>
              </w:rPr>
            </w:pPr>
          </w:p>
        </w:tc>
        <w:tc>
          <w:tcPr>
            <w:tcW w:w="147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宽（厚）度</w:t>
            </w:r>
          </w:p>
        </w:tc>
        <w:tc>
          <w:tcPr>
            <w:tcW w:w="910" w:type="dxa"/>
          </w:tcPr>
          <w:p>
            <w:pPr>
              <w:numPr>
                <w:ilvl w:val="0"/>
                <w:numId w:val="0"/>
              </w:numPr>
              <w:rPr>
                <w:rFonts w:hint="eastAsia"/>
                <w:b/>
                <w:bCs/>
                <w:sz w:val="24"/>
                <w:szCs w:val="24"/>
                <w:vertAlign w:val="baseline"/>
                <w:lang w:val="en-US" w:eastAsia="zh-CN"/>
              </w:rPr>
            </w:pPr>
            <w:r>
              <w:rPr>
                <w:rFonts w:hint="eastAsia" w:ascii="黑体" w:hAnsi="黑体" w:eastAsia="黑体" w:cs="黑体"/>
                <w:b w:val="0"/>
                <w:bCs w:val="0"/>
                <w:sz w:val="24"/>
                <w:szCs w:val="24"/>
                <w:vertAlign w:val="baseline"/>
                <w:lang w:val="en-US" w:eastAsia="zh-CN"/>
              </w:rPr>
              <w:t>±1.5</w:t>
            </w:r>
          </w:p>
        </w:tc>
        <w:tc>
          <w:tcPr>
            <w:tcW w:w="2282" w:type="dxa"/>
            <w:vMerge w:val="continue"/>
          </w:tcPr>
          <w:p>
            <w:pPr>
              <w:numPr>
                <w:ilvl w:val="0"/>
                <w:numId w:val="0"/>
              </w:numPr>
              <w:rPr>
                <w:rFonts w:hint="eastAsia"/>
                <w:b/>
                <w:bCs/>
                <w:sz w:val="24"/>
                <w:szCs w:val="24"/>
                <w:vertAlign w:val="baseline"/>
                <w:lang w:val="en-US" w:eastAsia="zh-CN"/>
              </w:rPr>
            </w:pP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760" w:type="dxa"/>
            <w:vMerge w:val="continue"/>
          </w:tcPr>
          <w:p>
            <w:pPr>
              <w:numPr>
                <w:ilvl w:val="0"/>
                <w:numId w:val="0"/>
              </w:numPr>
              <w:rPr>
                <w:rFonts w:hint="eastAsia"/>
                <w:b w:val="0"/>
                <w:bCs w:val="0"/>
                <w:sz w:val="24"/>
                <w:szCs w:val="24"/>
                <w:vertAlign w:val="baseline"/>
                <w:lang w:val="en-US" w:eastAsia="zh-CN"/>
              </w:rPr>
            </w:pPr>
          </w:p>
        </w:tc>
        <w:tc>
          <w:tcPr>
            <w:tcW w:w="2712" w:type="dxa"/>
            <w:vMerge w:val="continue"/>
          </w:tcPr>
          <w:p>
            <w:pPr>
              <w:numPr>
                <w:ilvl w:val="0"/>
                <w:numId w:val="0"/>
              </w:numPr>
              <w:rPr>
                <w:rFonts w:hint="eastAsia"/>
                <w:b w:val="0"/>
                <w:bCs w:val="0"/>
                <w:sz w:val="24"/>
                <w:szCs w:val="24"/>
                <w:vertAlign w:val="baseline"/>
                <w:lang w:val="en-US" w:eastAsia="zh-CN"/>
              </w:rPr>
            </w:pPr>
          </w:p>
        </w:tc>
        <w:tc>
          <w:tcPr>
            <w:tcW w:w="147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高度</w:t>
            </w:r>
          </w:p>
        </w:tc>
        <w:tc>
          <w:tcPr>
            <w:tcW w:w="910" w:type="dxa"/>
          </w:tcPr>
          <w:p>
            <w:pPr>
              <w:numPr>
                <w:ilvl w:val="0"/>
                <w:numId w:val="0"/>
              </w:numPr>
              <w:rPr>
                <w:rFonts w:hint="eastAsia"/>
                <w:b/>
                <w:bCs/>
                <w:sz w:val="24"/>
                <w:szCs w:val="24"/>
                <w:vertAlign w:val="baseline"/>
                <w:lang w:val="en-US" w:eastAsia="zh-CN"/>
              </w:rPr>
            </w:pPr>
            <w:r>
              <w:rPr>
                <w:rFonts w:hint="eastAsia" w:ascii="黑体" w:hAnsi="黑体" w:eastAsia="黑体" w:cs="黑体"/>
                <w:b w:val="0"/>
                <w:bCs w:val="0"/>
                <w:sz w:val="24"/>
                <w:szCs w:val="24"/>
                <w:vertAlign w:val="baseline"/>
                <w:lang w:val="en-US" w:eastAsia="zh-CN"/>
              </w:rPr>
              <w:t>±1.5</w:t>
            </w:r>
          </w:p>
        </w:tc>
        <w:tc>
          <w:tcPr>
            <w:tcW w:w="2282" w:type="dxa"/>
            <w:vMerge w:val="continue"/>
          </w:tcPr>
          <w:p>
            <w:pPr>
              <w:numPr>
                <w:ilvl w:val="0"/>
                <w:numId w:val="0"/>
              </w:numPr>
              <w:rPr>
                <w:rFonts w:hint="eastAsia"/>
                <w:b/>
                <w:bCs/>
                <w:sz w:val="24"/>
                <w:szCs w:val="24"/>
                <w:vertAlign w:val="baseline"/>
                <w:lang w:val="en-US" w:eastAsia="zh-CN"/>
              </w:rPr>
            </w:pP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w:t>
            </w:r>
          </w:p>
        </w:tc>
        <w:tc>
          <w:tcPr>
            <w:tcW w:w="2712"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砌块平面弯曲</w:t>
            </w:r>
          </w:p>
        </w:tc>
        <w:tc>
          <w:tcPr>
            <w:tcW w:w="2386" w:type="dxa"/>
            <w:gridSpan w:val="2"/>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不允许</w:t>
            </w:r>
          </w:p>
        </w:tc>
        <w:tc>
          <w:tcPr>
            <w:tcW w:w="2282" w:type="dxa"/>
          </w:tcPr>
          <w:p>
            <w:pPr>
              <w:numPr>
                <w:ilvl w:val="0"/>
                <w:numId w:val="0"/>
              </w:numPr>
              <w:rPr>
                <w:rFonts w:hint="eastAsia"/>
                <w:b/>
                <w:bCs/>
                <w:sz w:val="24"/>
                <w:szCs w:val="24"/>
                <w:vertAlign w:val="baseline"/>
                <w:lang w:val="en-US" w:eastAsia="zh-CN"/>
              </w:rPr>
            </w:pPr>
            <w:r>
              <w:rPr>
                <w:rFonts w:hint="eastAsia"/>
                <w:b/>
                <w:bCs/>
                <w:sz w:val="24"/>
                <w:szCs w:val="24"/>
                <w:vertAlign w:val="baseline"/>
                <w:lang w:val="en-US" w:eastAsia="zh-CN"/>
              </w:rPr>
              <w:t>———</w:t>
            </w: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271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砌体轴向位移</w:t>
            </w:r>
          </w:p>
        </w:tc>
        <w:tc>
          <w:tcPr>
            <w:tcW w:w="2386" w:type="dxa"/>
            <w:gridSpan w:val="2"/>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5</w:t>
            </w:r>
          </w:p>
        </w:tc>
        <w:tc>
          <w:tcPr>
            <w:tcW w:w="228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尺量</w:t>
            </w: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4</w:t>
            </w:r>
          </w:p>
        </w:tc>
        <w:tc>
          <w:tcPr>
            <w:tcW w:w="271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每层垂直度</w:t>
            </w:r>
          </w:p>
        </w:tc>
        <w:tc>
          <w:tcPr>
            <w:tcW w:w="2386" w:type="dxa"/>
            <w:gridSpan w:val="2"/>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3</w:t>
            </w:r>
          </w:p>
        </w:tc>
        <w:tc>
          <w:tcPr>
            <w:tcW w:w="228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2m托线板、吊垂线</w:t>
            </w: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5</w:t>
            </w:r>
          </w:p>
        </w:tc>
        <w:tc>
          <w:tcPr>
            <w:tcW w:w="271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全高垂直度</w:t>
            </w:r>
            <w:r>
              <w:rPr>
                <w:rFonts w:hint="default" w:ascii="Arial" w:hAnsi="Arial" w:cs="Arial"/>
                <w:b w:val="0"/>
                <w:bCs w:val="0"/>
                <w:sz w:val="24"/>
                <w:szCs w:val="24"/>
                <w:vertAlign w:val="baseline"/>
                <w:lang w:val="en-US" w:eastAsia="zh-CN"/>
              </w:rPr>
              <w:t>≤</w:t>
            </w:r>
            <w:r>
              <w:rPr>
                <w:rFonts w:hint="eastAsia"/>
                <w:b w:val="0"/>
                <w:bCs w:val="0"/>
                <w:sz w:val="24"/>
                <w:szCs w:val="24"/>
                <w:vertAlign w:val="baseline"/>
                <w:lang w:val="en-US" w:eastAsia="zh-CN"/>
              </w:rPr>
              <w:t>10m</w:t>
            </w:r>
          </w:p>
        </w:tc>
        <w:tc>
          <w:tcPr>
            <w:tcW w:w="2386" w:type="dxa"/>
            <w:gridSpan w:val="2"/>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10</w:t>
            </w:r>
          </w:p>
        </w:tc>
        <w:tc>
          <w:tcPr>
            <w:tcW w:w="2282"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经纬仪、吊垂线</w:t>
            </w: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6</w:t>
            </w:r>
          </w:p>
        </w:tc>
        <w:tc>
          <w:tcPr>
            <w:tcW w:w="2712"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全高垂直度</w:t>
            </w:r>
            <w:r>
              <w:rPr>
                <w:rFonts w:hint="eastAsia" w:ascii="黑体" w:hAnsi="黑体" w:eastAsia="黑体" w:cs="黑体"/>
                <w:b w:val="0"/>
                <w:bCs w:val="0"/>
                <w:sz w:val="24"/>
                <w:szCs w:val="24"/>
                <w:vertAlign w:val="baseline"/>
                <w:lang w:val="en-US" w:eastAsia="zh-CN"/>
              </w:rPr>
              <w:t>&gt;</w:t>
            </w:r>
            <w:r>
              <w:rPr>
                <w:rFonts w:hint="eastAsia"/>
                <w:b w:val="0"/>
                <w:bCs w:val="0"/>
                <w:sz w:val="24"/>
                <w:szCs w:val="24"/>
                <w:vertAlign w:val="baseline"/>
                <w:lang w:val="en-US" w:eastAsia="zh-CN"/>
              </w:rPr>
              <w:t>10m</w:t>
            </w:r>
          </w:p>
        </w:tc>
        <w:tc>
          <w:tcPr>
            <w:tcW w:w="2386" w:type="dxa"/>
            <w:gridSpan w:val="2"/>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20</w:t>
            </w:r>
          </w:p>
        </w:tc>
        <w:tc>
          <w:tcPr>
            <w:tcW w:w="228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经纬仪、吊垂线</w:t>
            </w:r>
          </w:p>
        </w:tc>
        <w:tc>
          <w:tcPr>
            <w:tcW w:w="1624" w:type="dxa"/>
            <w:vMerge w:val="continue"/>
          </w:tcPr>
          <w:p>
            <w:pPr>
              <w:numPr>
                <w:ilvl w:val="0"/>
                <w:numId w:val="0"/>
              </w:numP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7</w:t>
            </w:r>
          </w:p>
        </w:tc>
        <w:tc>
          <w:tcPr>
            <w:tcW w:w="2712"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表面平整度</w:t>
            </w:r>
          </w:p>
        </w:tc>
        <w:tc>
          <w:tcPr>
            <w:tcW w:w="2386" w:type="dxa"/>
            <w:gridSpan w:val="2"/>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3</w:t>
            </w:r>
          </w:p>
        </w:tc>
        <w:tc>
          <w:tcPr>
            <w:tcW w:w="2282" w:type="dxa"/>
          </w:tcPr>
          <w:p>
            <w:pPr>
              <w:numPr>
                <w:ilvl w:val="0"/>
                <w:numId w:val="0"/>
              </w:numPr>
              <w:rPr>
                <w:rFonts w:hint="eastAsia"/>
                <w:b/>
                <w:bCs/>
                <w:sz w:val="24"/>
                <w:szCs w:val="24"/>
                <w:vertAlign w:val="baseline"/>
                <w:lang w:val="en-US" w:eastAsia="zh-CN"/>
              </w:rPr>
            </w:pPr>
            <w:r>
              <w:rPr>
                <w:rFonts w:hint="eastAsia"/>
                <w:b w:val="0"/>
                <w:bCs w:val="0"/>
                <w:sz w:val="24"/>
                <w:szCs w:val="24"/>
                <w:vertAlign w:val="baseline"/>
                <w:lang w:val="en-US" w:eastAsia="zh-CN"/>
              </w:rPr>
              <w:t>2m靠尺、塞尺</w:t>
            </w:r>
          </w:p>
        </w:tc>
        <w:tc>
          <w:tcPr>
            <w:tcW w:w="1624" w:type="dxa"/>
            <w:vMerge w:val="continue"/>
          </w:tcPr>
          <w:p>
            <w:pPr>
              <w:numPr>
                <w:ilvl w:val="0"/>
                <w:numId w:val="0"/>
              </w:numPr>
              <w:rPr>
                <w:rFonts w:hint="eastAsia"/>
                <w:b/>
                <w:bCs/>
                <w:sz w:val="24"/>
                <w:szCs w:val="24"/>
                <w:vertAlign w:val="baseline"/>
                <w:lang w:val="en-US" w:eastAsia="zh-CN"/>
              </w:rPr>
            </w:pPr>
          </w:p>
        </w:tc>
      </w:tr>
    </w:tbl>
    <w:p>
      <w:pPr>
        <w:numPr>
          <w:ilvl w:val="0"/>
          <w:numId w:val="0"/>
        </w:numPr>
        <w:ind w:firstLine="2168" w:firstLineChars="900"/>
        <w:rPr>
          <w:rFonts w:hint="eastAsia"/>
          <w:b/>
          <w:bCs/>
          <w:sz w:val="24"/>
          <w:szCs w:val="24"/>
          <w:lang w:val="en-US" w:eastAsia="zh-CN"/>
        </w:rPr>
      </w:pPr>
    </w:p>
    <w:p>
      <w:pPr>
        <w:numPr>
          <w:ilvl w:val="0"/>
          <w:numId w:val="3"/>
        </w:numPr>
        <w:rPr>
          <w:rFonts w:hint="eastAsia"/>
          <w:b/>
          <w:bCs/>
          <w:sz w:val="32"/>
          <w:szCs w:val="32"/>
          <w:lang w:val="en-US" w:eastAsia="zh-CN"/>
        </w:rPr>
      </w:pPr>
      <w:r>
        <w:rPr>
          <w:rFonts w:hint="eastAsia"/>
          <w:b/>
          <w:bCs/>
          <w:sz w:val="32"/>
          <w:szCs w:val="32"/>
          <w:lang w:val="en-US" w:eastAsia="zh-CN"/>
        </w:rPr>
        <w:t>防水技术与围护结构节能</w:t>
      </w:r>
    </w:p>
    <w:p>
      <w:pPr>
        <w:numPr>
          <w:ilvl w:val="0"/>
          <w:numId w:val="0"/>
        </w:numPr>
        <w:rPr>
          <w:rFonts w:hint="eastAsia"/>
          <w:b/>
          <w:bCs/>
          <w:sz w:val="24"/>
          <w:szCs w:val="24"/>
          <w:lang w:val="en-US" w:eastAsia="zh-CN"/>
        </w:rPr>
      </w:pPr>
      <w:r>
        <w:rPr>
          <w:rFonts w:hint="eastAsia"/>
          <w:b/>
          <w:bCs/>
          <w:sz w:val="24"/>
          <w:szCs w:val="24"/>
          <w:lang w:val="en-US" w:eastAsia="zh-CN"/>
        </w:rPr>
        <w:t>8.1 防水卷材机械固定施工技术</w:t>
      </w:r>
    </w:p>
    <w:p>
      <w:pPr>
        <w:numPr>
          <w:ilvl w:val="0"/>
          <w:numId w:val="0"/>
        </w:numPr>
        <w:ind w:leftChars="0"/>
        <w:rPr>
          <w:rFonts w:hint="eastAsia"/>
          <w:b/>
          <w:bCs/>
          <w:sz w:val="24"/>
          <w:szCs w:val="24"/>
          <w:lang w:val="en-US" w:eastAsia="zh-CN"/>
        </w:rPr>
      </w:pPr>
      <w:r>
        <w:rPr>
          <w:rFonts w:hint="eastAsia"/>
          <w:b/>
          <w:bCs/>
          <w:sz w:val="24"/>
          <w:szCs w:val="24"/>
          <w:lang w:val="en-US" w:eastAsia="zh-CN"/>
        </w:rPr>
        <w:t>8.1.1 聚氯乙烯（PVC）、热塑性聚烯烃（TPO）防水卷材机械固定施工技术指标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（1）屋面为压型钢板的基板厚度不宜小于 0.75mm，且基板最小厚度不应小于 0.63mm，当基板厚度在 0.63~0.75mm 时应通过固定钉拉拔试验；钢筋混凝土板的厚度不应小于 40mm，强度等级不应小于 C20，并应通过固定钉拉拔试验。</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（2）聚氯乙烯（PVC）防水卷材的物理性能应满足《聚氯乙烯（PVC）防水卷材》GB 12952</w:t>
      </w:r>
    </w:p>
    <w:p>
      <w:pPr>
        <w:numPr>
          <w:ilvl w:val="0"/>
          <w:numId w:val="0"/>
        </w:numPr>
        <w:ind w:leftChars="0"/>
        <w:rPr>
          <w:rFonts w:hint="eastAsia"/>
          <w:b/>
          <w:bCs/>
          <w:sz w:val="24"/>
          <w:szCs w:val="24"/>
          <w:lang w:val="en-US" w:eastAsia="zh-CN"/>
        </w:rPr>
      </w:pPr>
      <w:r>
        <w:rPr>
          <w:rFonts w:hint="eastAsia"/>
          <w:b w:val="0"/>
          <w:bCs w:val="0"/>
          <w:sz w:val="24"/>
          <w:szCs w:val="24"/>
          <w:lang w:val="en-US" w:eastAsia="zh-CN"/>
        </w:rPr>
        <w:t>标准要求、热塑性聚烯烃（TPO）防水卷材物理性能指标应满足《热塑性聚烯烃（TPO）防水卷材》GB 27789 标准要求，主要性能指标见表 8.1、表 8.2。</w:t>
      </w:r>
    </w:p>
    <w:p>
      <w:pPr>
        <w:numPr>
          <w:ilvl w:val="0"/>
          <w:numId w:val="0"/>
        </w:numPr>
        <w:ind w:leftChars="0" w:firstLine="2530" w:firstLineChars="1200"/>
        <w:rPr>
          <w:rFonts w:hint="eastAsia"/>
          <w:b/>
          <w:bCs/>
          <w:sz w:val="21"/>
          <w:szCs w:val="21"/>
          <w:lang w:val="en-US" w:eastAsia="zh-CN"/>
        </w:rPr>
      </w:pPr>
      <w:r>
        <w:rPr>
          <w:rFonts w:hint="eastAsia"/>
          <w:b/>
          <w:bCs/>
          <w:sz w:val="21"/>
          <w:szCs w:val="21"/>
          <w:lang w:val="en-US" w:eastAsia="zh-CN"/>
        </w:rPr>
        <w:t>表 8.1 聚氯乙烯（PVC）防水卷材主要性能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2"/>
        <w:gridCol w:w="3396"/>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试验项目 </w:t>
            </w:r>
          </w:p>
        </w:tc>
        <w:tc>
          <w:tcPr>
            <w:tcW w:w="3256" w:type="dxa"/>
          </w:tcPr>
          <w:p>
            <w:pPr>
              <w:numPr>
                <w:ilvl w:val="0"/>
                <w:numId w:val="0"/>
              </w:numPr>
              <w:rPr>
                <w:rFonts w:hint="eastAsia"/>
                <w:b w:val="0"/>
                <w:bCs w:val="0"/>
                <w:sz w:val="24"/>
                <w:szCs w:val="24"/>
                <w:vertAlign w:val="baseline"/>
                <w:lang w:val="en-US" w:eastAsia="zh-CN"/>
              </w:rPr>
            </w:pPr>
            <w:r>
              <w:rPr>
                <w:rFonts w:hint="eastAsia"/>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最大拉力/（N/cm） </w:t>
            </w:r>
          </w:p>
        </w:tc>
        <w:tc>
          <w:tcPr>
            <w:tcW w:w="3256" w:type="dxa"/>
          </w:tcPr>
          <w:p>
            <w:pPr>
              <w:numPr>
                <w:ilvl w:val="0"/>
                <w:numId w:val="0"/>
              </w:numPr>
              <w:rPr>
                <w:rFonts w:hint="eastAsia"/>
                <w:b w:val="0"/>
                <w:bCs w:val="0"/>
                <w:sz w:val="24"/>
                <w:szCs w:val="24"/>
                <w:vertAlign w:val="baseline"/>
                <w:lang w:val="en-US" w:eastAsia="zh-CN"/>
              </w:rPr>
            </w:pPr>
            <w:r>
              <w:rPr>
                <w:rFonts w:hint="eastAsia"/>
              </w:rPr>
              <w:t xml:space="preserve"> ≥250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最大拉力时延伸率/％ </w:t>
            </w:r>
          </w:p>
        </w:tc>
        <w:tc>
          <w:tcPr>
            <w:tcW w:w="3256" w:type="dxa"/>
          </w:tcPr>
          <w:p>
            <w:pPr>
              <w:numPr>
                <w:ilvl w:val="0"/>
                <w:numId w:val="0"/>
              </w:numPr>
              <w:rPr>
                <w:rFonts w:hint="eastAsia"/>
                <w:b w:val="0"/>
                <w:bCs w:val="0"/>
                <w:sz w:val="24"/>
                <w:szCs w:val="24"/>
                <w:vertAlign w:val="baseline"/>
                <w:lang w:val="en-US" w:eastAsia="zh-CN"/>
              </w:rPr>
            </w:pPr>
            <w:r>
              <w:rPr>
                <w:rFonts w:hint="eastAsia"/>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热处理尺寸变化率/％ </w:t>
            </w:r>
          </w:p>
        </w:tc>
        <w:tc>
          <w:tcPr>
            <w:tcW w:w="3256" w:type="dxa"/>
          </w:tcPr>
          <w:p>
            <w:pPr>
              <w:numPr>
                <w:ilvl w:val="0"/>
                <w:numId w:val="0"/>
              </w:numPr>
              <w:rPr>
                <w:rFonts w:hint="eastAsia"/>
                <w:b w:val="0"/>
                <w:bCs w:val="0"/>
                <w:sz w:val="24"/>
                <w:szCs w:val="24"/>
                <w:vertAlign w:val="baseline"/>
                <w:lang w:val="en-US" w:eastAsia="zh-CN"/>
              </w:rPr>
            </w:pPr>
            <w:r>
              <w:rPr>
                <w:rFonts w:hint="eastAsia"/>
              </w:rPr>
              <w:t xml:space="preserve">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低温弯折性 </w:t>
            </w:r>
          </w:p>
        </w:tc>
        <w:tc>
          <w:tcPr>
            <w:tcW w:w="3256" w:type="dxa"/>
          </w:tcPr>
          <w:p>
            <w:pPr>
              <w:numPr>
                <w:ilvl w:val="0"/>
                <w:numId w:val="0"/>
              </w:numPr>
              <w:rPr>
                <w:rFonts w:hint="eastAsia"/>
                <w:b w:val="0"/>
                <w:bCs w:val="0"/>
                <w:sz w:val="24"/>
                <w:szCs w:val="24"/>
                <w:vertAlign w:val="baseline"/>
                <w:lang w:val="en-US" w:eastAsia="zh-CN"/>
              </w:rPr>
            </w:pPr>
            <w:r>
              <w:rPr>
                <w:rFonts w:hint="eastAsia"/>
              </w:rPr>
              <w:t xml:space="preserve"> -25℃，无裂纹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不透水性（0.3MPa,2h） </w:t>
            </w:r>
          </w:p>
        </w:tc>
        <w:tc>
          <w:tcPr>
            <w:tcW w:w="3256" w:type="dxa"/>
          </w:tcPr>
          <w:p>
            <w:pPr>
              <w:numPr>
                <w:ilvl w:val="0"/>
                <w:numId w:val="0"/>
              </w:numPr>
              <w:rPr>
                <w:rFonts w:hint="eastAsia"/>
                <w:b w:val="0"/>
                <w:bCs w:val="0"/>
                <w:sz w:val="24"/>
                <w:szCs w:val="24"/>
                <w:vertAlign w:val="baseline"/>
                <w:lang w:val="en-US" w:eastAsia="zh-CN"/>
              </w:rPr>
            </w:pPr>
            <w:r>
              <w:rPr>
                <w:rFonts w:hint="eastAsia"/>
              </w:rPr>
              <w:t xml:space="preserve"> 不透水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8" w:type="dxa"/>
            <w:gridSpan w:val="2"/>
          </w:tcPr>
          <w:p>
            <w:pPr>
              <w:numPr>
                <w:ilvl w:val="0"/>
                <w:numId w:val="0"/>
              </w:numPr>
              <w:rPr>
                <w:rFonts w:hint="eastAsia"/>
                <w:b w:val="0"/>
                <w:bCs w:val="0"/>
                <w:sz w:val="24"/>
                <w:szCs w:val="24"/>
                <w:vertAlign w:val="baseline"/>
                <w:lang w:val="en-US" w:eastAsia="zh-CN"/>
              </w:rPr>
            </w:pPr>
            <w:r>
              <w:rPr>
                <w:rFonts w:hint="eastAsia"/>
              </w:rPr>
              <w:t xml:space="preserve">接缝剥离强度/（N/mm） </w:t>
            </w:r>
          </w:p>
        </w:tc>
        <w:tc>
          <w:tcPr>
            <w:tcW w:w="3256" w:type="dxa"/>
          </w:tcPr>
          <w:p>
            <w:pPr>
              <w:numPr>
                <w:ilvl w:val="0"/>
                <w:numId w:val="0"/>
              </w:numPr>
              <w:rPr>
                <w:rFonts w:hint="eastAsia"/>
                <w:b w:val="0"/>
                <w:bCs w:val="0"/>
                <w:sz w:val="24"/>
                <w:szCs w:val="24"/>
                <w:vertAlign w:val="baseline"/>
                <w:lang w:val="en-US" w:eastAsia="zh-CN"/>
              </w:rPr>
            </w:pPr>
            <w:r>
              <w:rPr>
                <w:rFonts w:hint="eastAsia"/>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3112" w:type="dxa"/>
            <w:vMerge w:val="restart"/>
          </w:tcPr>
          <w:p>
            <w:pPr>
              <w:numPr>
                <w:ilvl w:val="0"/>
                <w:numId w:val="0"/>
              </w:numPr>
              <w:rPr>
                <w:rFonts w:hint="eastAsia"/>
              </w:rPr>
            </w:pPr>
          </w:p>
          <w:p>
            <w:pPr>
              <w:numPr>
                <w:ilvl w:val="0"/>
                <w:numId w:val="0"/>
              </w:numPr>
              <w:rPr>
                <w:rFonts w:hint="eastAsia"/>
                <w:lang w:val="en-US" w:eastAsia="zh-CN"/>
              </w:rPr>
            </w:pPr>
            <w:r>
              <w:rPr>
                <w:rFonts w:hint="eastAsia"/>
              </w:rPr>
              <w:t>人工气候加速老化（2500h）</w:t>
            </w:r>
          </w:p>
        </w:tc>
        <w:tc>
          <w:tcPr>
            <w:tcW w:w="3396"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最大拉力保持率/％</w:t>
            </w:r>
          </w:p>
        </w:tc>
        <w:tc>
          <w:tcPr>
            <w:tcW w:w="3256" w:type="dxa"/>
          </w:tcPr>
          <w:p>
            <w:pPr>
              <w:numPr>
                <w:ilvl w:val="0"/>
                <w:numId w:val="0"/>
              </w:numPr>
              <w:rPr>
                <w:rFonts w:hint="eastAsia" w:eastAsiaTheme="minorEastAsia"/>
                <w:b w:val="0"/>
                <w:bCs w:val="0"/>
                <w:sz w:val="21"/>
                <w:szCs w:val="21"/>
                <w:vertAlign w:val="baseline"/>
                <w:lang w:val="en-US" w:eastAsia="zh-CN"/>
              </w:rPr>
            </w:pPr>
            <w:r>
              <w:rPr>
                <w:rFonts w:hint="eastAsia"/>
              </w:rPr>
              <w:t>≥8</w:t>
            </w: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vMerge w:val="continue"/>
          </w:tcPr>
          <w:p>
            <w:pPr>
              <w:numPr>
                <w:ilvl w:val="0"/>
                <w:numId w:val="0"/>
              </w:numPr>
              <w:rPr>
                <w:rFonts w:hint="eastAsia"/>
                <w:b w:val="0"/>
                <w:bCs w:val="0"/>
                <w:sz w:val="24"/>
                <w:szCs w:val="24"/>
                <w:vertAlign w:val="baseline"/>
                <w:lang w:val="en-US" w:eastAsia="zh-CN"/>
              </w:rPr>
            </w:pPr>
          </w:p>
        </w:tc>
        <w:tc>
          <w:tcPr>
            <w:tcW w:w="3396" w:type="dxa"/>
          </w:tcPr>
          <w:p>
            <w:pPr>
              <w:numPr>
                <w:ilvl w:val="0"/>
                <w:numId w:val="0"/>
              </w:numPr>
              <w:rPr>
                <w:rFonts w:hint="eastAsia"/>
                <w:b w:val="0"/>
                <w:bCs w:val="0"/>
                <w:sz w:val="24"/>
                <w:szCs w:val="24"/>
                <w:vertAlign w:val="baseline"/>
                <w:lang w:val="en-US" w:eastAsia="zh-CN"/>
              </w:rPr>
            </w:pPr>
            <w:r>
              <w:rPr>
                <w:rFonts w:hint="eastAsia"/>
              </w:rPr>
              <w:t xml:space="preserve"> 伸长率保持率/％</w:t>
            </w:r>
          </w:p>
        </w:tc>
        <w:tc>
          <w:tcPr>
            <w:tcW w:w="3256" w:type="dxa"/>
          </w:tcPr>
          <w:p>
            <w:pPr>
              <w:numPr>
                <w:ilvl w:val="0"/>
                <w:numId w:val="0"/>
              </w:numPr>
              <w:rPr>
                <w:rFonts w:hint="eastAsia"/>
                <w:b w:val="0"/>
                <w:bCs w:val="0"/>
                <w:sz w:val="24"/>
                <w:szCs w:val="24"/>
                <w:vertAlign w:val="baseline"/>
                <w:lang w:val="en-US" w:eastAsia="zh-CN"/>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vMerge w:val="continue"/>
          </w:tcPr>
          <w:p>
            <w:pPr>
              <w:numPr>
                <w:ilvl w:val="0"/>
                <w:numId w:val="0"/>
              </w:numPr>
              <w:rPr>
                <w:rFonts w:hint="eastAsia"/>
                <w:b w:val="0"/>
                <w:bCs w:val="0"/>
                <w:sz w:val="24"/>
                <w:szCs w:val="24"/>
                <w:vertAlign w:val="baseline"/>
                <w:lang w:val="en-US" w:eastAsia="zh-CN"/>
              </w:rPr>
            </w:pPr>
          </w:p>
        </w:tc>
        <w:tc>
          <w:tcPr>
            <w:tcW w:w="3396" w:type="dxa"/>
          </w:tcPr>
          <w:p>
            <w:pPr>
              <w:numPr>
                <w:ilvl w:val="0"/>
                <w:numId w:val="0"/>
              </w:numPr>
              <w:rPr>
                <w:rFonts w:hint="eastAsia"/>
                <w:b w:val="0"/>
                <w:bCs w:val="0"/>
                <w:sz w:val="24"/>
                <w:szCs w:val="24"/>
                <w:vertAlign w:val="baseline"/>
                <w:lang w:val="en-US" w:eastAsia="zh-CN"/>
              </w:rPr>
            </w:pPr>
            <w:r>
              <w:rPr>
                <w:rFonts w:hint="eastAsia"/>
              </w:rPr>
              <w:t xml:space="preserve"> 低温弯折性（-20℃）</w:t>
            </w:r>
          </w:p>
        </w:tc>
        <w:tc>
          <w:tcPr>
            <w:tcW w:w="3256"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无裂纹</w:t>
            </w:r>
          </w:p>
        </w:tc>
      </w:tr>
    </w:tbl>
    <w:p>
      <w:pPr>
        <w:numPr>
          <w:ilvl w:val="0"/>
          <w:numId w:val="0"/>
        </w:numPr>
        <w:ind w:leftChars="0" w:firstLine="1687" w:firstLineChars="700"/>
        <w:rPr>
          <w:rFonts w:hint="eastAsia"/>
          <w:b/>
          <w:bCs/>
          <w:sz w:val="24"/>
          <w:szCs w:val="24"/>
          <w:lang w:val="en-US" w:eastAsia="zh-CN"/>
        </w:rPr>
      </w:pPr>
      <w:r>
        <w:rPr>
          <w:rFonts w:hint="eastAsia"/>
          <w:b/>
          <w:bCs/>
          <w:sz w:val="24"/>
          <w:szCs w:val="24"/>
          <w:lang w:val="en-US" w:eastAsia="zh-CN"/>
        </w:rPr>
        <w:t>表 8.2 热塑性聚烯烃（TPO）防水卷材主要性能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3540"/>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试验项目 </w:t>
            </w:r>
          </w:p>
        </w:tc>
        <w:tc>
          <w:tcPr>
            <w:tcW w:w="3232" w:type="dxa"/>
          </w:tcPr>
          <w:p>
            <w:pPr>
              <w:numPr>
                <w:ilvl w:val="0"/>
                <w:numId w:val="0"/>
              </w:numPr>
              <w:rPr>
                <w:rFonts w:hint="eastAsia"/>
                <w:b/>
                <w:bCs/>
                <w:sz w:val="24"/>
                <w:szCs w:val="24"/>
                <w:vertAlign w:val="baseline"/>
                <w:lang w:val="en-US" w:eastAsia="zh-CN"/>
              </w:rPr>
            </w:pPr>
            <w:r>
              <w:rPr>
                <w:rFonts w:hint="eastAsia"/>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最大拉力/（N/cm） </w:t>
            </w:r>
          </w:p>
        </w:tc>
        <w:tc>
          <w:tcPr>
            <w:tcW w:w="3232" w:type="dxa"/>
          </w:tcPr>
          <w:p>
            <w:pPr>
              <w:numPr>
                <w:ilvl w:val="0"/>
                <w:numId w:val="0"/>
              </w:numPr>
              <w:rPr>
                <w:rFonts w:hint="eastAsia"/>
                <w:b/>
                <w:bCs/>
                <w:sz w:val="24"/>
                <w:szCs w:val="24"/>
                <w:vertAlign w:val="baseline"/>
                <w:lang w:val="en-US" w:eastAsia="zh-CN"/>
              </w:rPr>
            </w:pPr>
            <w:r>
              <w:rPr>
                <w:rFonts w:hint="eastAsia"/>
              </w:rPr>
              <w:t xml:space="preserve"> ≥250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最大拉力时延伸率/％ </w:t>
            </w:r>
          </w:p>
        </w:tc>
        <w:tc>
          <w:tcPr>
            <w:tcW w:w="3232" w:type="dxa"/>
          </w:tcPr>
          <w:p>
            <w:pPr>
              <w:numPr>
                <w:ilvl w:val="0"/>
                <w:numId w:val="0"/>
              </w:numPr>
              <w:rPr>
                <w:rFonts w:hint="eastAsia"/>
                <w:b/>
                <w:bCs/>
                <w:sz w:val="24"/>
                <w:szCs w:val="24"/>
                <w:vertAlign w:val="baseline"/>
                <w:lang w:val="en-US" w:eastAsia="zh-CN"/>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热处理尺寸变化率/％ </w:t>
            </w:r>
          </w:p>
        </w:tc>
        <w:tc>
          <w:tcPr>
            <w:tcW w:w="3232" w:type="dxa"/>
          </w:tcPr>
          <w:p>
            <w:pPr>
              <w:numPr>
                <w:ilvl w:val="0"/>
                <w:numId w:val="0"/>
              </w:numPr>
              <w:rPr>
                <w:rFonts w:hint="eastAsia"/>
                <w:b/>
                <w:bCs/>
                <w:sz w:val="24"/>
                <w:szCs w:val="24"/>
                <w:vertAlign w:val="baseline"/>
                <w:lang w:val="en-US" w:eastAsia="zh-CN"/>
              </w:rPr>
            </w:pPr>
            <w:r>
              <w:rPr>
                <w:rFonts w:hint="eastAsia"/>
              </w:rPr>
              <w:t xml:space="preserve">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低温弯折性 </w:t>
            </w:r>
          </w:p>
        </w:tc>
        <w:tc>
          <w:tcPr>
            <w:tcW w:w="3232" w:type="dxa"/>
          </w:tcPr>
          <w:p>
            <w:pPr>
              <w:numPr>
                <w:ilvl w:val="0"/>
                <w:numId w:val="0"/>
              </w:numPr>
              <w:rPr>
                <w:rFonts w:hint="eastAsia"/>
                <w:b/>
                <w:bCs/>
                <w:sz w:val="24"/>
                <w:szCs w:val="24"/>
                <w:vertAlign w:val="baseline"/>
                <w:lang w:val="en-US" w:eastAsia="zh-CN"/>
              </w:rPr>
            </w:pPr>
            <w:r>
              <w:rPr>
                <w:rFonts w:hint="eastAsia"/>
              </w:rPr>
              <w:t xml:space="preserve"> -40℃,无裂纹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不透水性（0.3MPa，2h） </w:t>
            </w:r>
          </w:p>
        </w:tc>
        <w:tc>
          <w:tcPr>
            <w:tcW w:w="3232" w:type="dxa"/>
          </w:tcPr>
          <w:p>
            <w:pPr>
              <w:numPr>
                <w:ilvl w:val="0"/>
                <w:numId w:val="0"/>
              </w:numPr>
              <w:rPr>
                <w:rFonts w:hint="eastAsia"/>
                <w:b/>
                <w:bCs/>
                <w:sz w:val="24"/>
                <w:szCs w:val="24"/>
                <w:vertAlign w:val="baseline"/>
                <w:lang w:val="en-US" w:eastAsia="zh-CN"/>
              </w:rPr>
            </w:pPr>
            <w:r>
              <w:rPr>
                <w:rFonts w:hint="eastAsia"/>
              </w:rPr>
              <w:t xml:space="preserve"> 不透水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2" w:type="dxa"/>
            <w:gridSpan w:val="2"/>
          </w:tcPr>
          <w:p>
            <w:pPr>
              <w:numPr>
                <w:ilvl w:val="0"/>
                <w:numId w:val="0"/>
              </w:numPr>
              <w:rPr>
                <w:rFonts w:hint="eastAsia"/>
                <w:b/>
                <w:bCs/>
                <w:sz w:val="24"/>
                <w:szCs w:val="24"/>
                <w:vertAlign w:val="baseline"/>
                <w:lang w:val="en-US" w:eastAsia="zh-CN"/>
              </w:rPr>
            </w:pPr>
            <w:r>
              <w:rPr>
                <w:rFonts w:hint="eastAsia"/>
              </w:rPr>
              <w:t xml:space="preserve">接缝剥离强度/（N/mm） </w:t>
            </w:r>
          </w:p>
        </w:tc>
        <w:tc>
          <w:tcPr>
            <w:tcW w:w="3232" w:type="dxa"/>
          </w:tcPr>
          <w:p>
            <w:pPr>
              <w:numPr>
                <w:ilvl w:val="0"/>
                <w:numId w:val="0"/>
              </w:numPr>
              <w:rPr>
                <w:rFonts w:hint="eastAsia"/>
                <w:b/>
                <w:bCs/>
                <w:sz w:val="24"/>
                <w:szCs w:val="24"/>
                <w:vertAlign w:val="baseline"/>
                <w:lang w:val="en-US" w:eastAsia="zh-CN"/>
              </w:rPr>
            </w:pPr>
            <w:r>
              <w:rPr>
                <w:rFonts w:hint="eastAsia"/>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2" w:type="dxa"/>
          </w:tcPr>
          <w:p>
            <w:pPr>
              <w:numPr>
                <w:ilvl w:val="0"/>
                <w:numId w:val="0"/>
              </w:numPr>
              <w:rPr>
                <w:rFonts w:hint="eastAsia"/>
                <w:b/>
                <w:bCs/>
                <w:sz w:val="24"/>
                <w:szCs w:val="24"/>
                <w:vertAlign w:val="baseline"/>
                <w:lang w:val="en-US" w:eastAsia="zh-CN"/>
              </w:rPr>
            </w:pPr>
            <w:r>
              <w:rPr>
                <w:rFonts w:hint="eastAsia"/>
              </w:rPr>
              <w:t>人工气候加速老化（2500h）</w:t>
            </w:r>
          </w:p>
        </w:tc>
        <w:tc>
          <w:tcPr>
            <w:tcW w:w="3540" w:type="dxa"/>
          </w:tcPr>
          <w:p>
            <w:pPr>
              <w:numPr>
                <w:ilvl w:val="0"/>
                <w:numId w:val="0"/>
              </w:numPr>
              <w:ind w:firstLine="420" w:firstLineChars="200"/>
              <w:rPr>
                <w:rFonts w:hint="eastAsia" w:eastAsiaTheme="minorEastAsia"/>
                <w:b/>
                <w:bCs/>
                <w:sz w:val="24"/>
                <w:szCs w:val="24"/>
                <w:vertAlign w:val="baseline"/>
                <w:lang w:val="en-US" w:eastAsia="zh-CN"/>
              </w:rPr>
            </w:pPr>
            <w:r>
              <w:rPr>
                <w:rFonts w:hint="eastAsia"/>
              </w:rPr>
              <w:t xml:space="preserve">最大拉力保持率/％ </w:t>
            </w:r>
          </w:p>
        </w:tc>
        <w:tc>
          <w:tcPr>
            <w:tcW w:w="3232" w:type="dxa"/>
          </w:tcPr>
          <w:p>
            <w:pPr>
              <w:numPr>
                <w:ilvl w:val="0"/>
                <w:numId w:val="0"/>
              </w:numPr>
              <w:rPr>
                <w:rFonts w:hint="eastAsia"/>
                <w:b/>
                <w:bCs/>
                <w:sz w:val="24"/>
                <w:szCs w:val="24"/>
                <w:vertAlign w:val="baseline"/>
                <w:lang w:val="en-US" w:eastAsia="zh-CN"/>
              </w:rPr>
            </w:pPr>
            <w:r>
              <w:rPr>
                <w:rFonts w:hint="eastAsia"/>
              </w:rPr>
              <w:t>≥90</w:t>
            </w:r>
          </w:p>
        </w:tc>
      </w:tr>
    </w:tbl>
    <w:p>
      <w:pPr>
        <w:numPr>
          <w:ilvl w:val="0"/>
          <w:numId w:val="0"/>
        </w:numPr>
        <w:ind w:leftChars="0" w:firstLine="1687" w:firstLineChars="700"/>
        <w:rPr>
          <w:rFonts w:hint="eastAsia"/>
          <w:b/>
          <w:bCs/>
          <w:sz w:val="24"/>
          <w:szCs w:val="24"/>
          <w:lang w:val="en-US" w:eastAsia="zh-CN"/>
        </w:rPr>
      </w:pPr>
    </w:p>
    <w:p>
      <w:pPr>
        <w:numPr>
          <w:ilvl w:val="0"/>
          <w:numId w:val="0"/>
        </w:numPr>
        <w:ind w:leftChars="0"/>
        <w:rPr>
          <w:rFonts w:hint="eastAsia"/>
          <w:b/>
          <w:bCs/>
          <w:sz w:val="24"/>
          <w:szCs w:val="24"/>
          <w:lang w:val="en-US" w:eastAsia="zh-CN"/>
        </w:rPr>
      </w:pPr>
      <w:r>
        <w:rPr>
          <w:rFonts w:hint="eastAsia"/>
          <w:b/>
          <w:bCs/>
          <w:sz w:val="24"/>
          <w:szCs w:val="24"/>
          <w:lang w:val="en-US" w:eastAsia="zh-CN"/>
        </w:rPr>
        <w:t>8.1.2 三元乙丙（EPDM）、热塑性聚烯烃（TPO）、聚氯乙烯（PVC）防水卷材无</w:t>
      </w:r>
    </w:p>
    <w:p>
      <w:pPr>
        <w:numPr>
          <w:ilvl w:val="0"/>
          <w:numId w:val="0"/>
        </w:numPr>
        <w:ind w:leftChars="0"/>
        <w:rPr>
          <w:rFonts w:hint="eastAsia"/>
          <w:b/>
          <w:bCs/>
          <w:sz w:val="24"/>
          <w:szCs w:val="24"/>
          <w:lang w:val="en-US" w:eastAsia="zh-CN"/>
        </w:rPr>
      </w:pPr>
      <w:r>
        <w:rPr>
          <w:rFonts w:hint="eastAsia"/>
          <w:b/>
          <w:bCs/>
          <w:sz w:val="24"/>
          <w:szCs w:val="24"/>
          <w:lang w:val="en-US" w:eastAsia="zh-CN"/>
        </w:rPr>
        <w:t>穿孔机械固定技术指标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根据风速、建筑物所在区域、建筑物规格、基层类型、屋面结构层次等因素，计算机械固定密度，并在屋面不同部位，分别设计边区、角区和中区，按不同密度进行固定。抗风荷载性能是机械固定技术非常关键的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热塑性聚烯烃（TPO）、聚氯乙烯（PVC）防水卷材防水卷材与无穿孔垫片焊接后的拉拔力均不小于 2500N。</w:t>
      </w:r>
    </w:p>
    <w:p>
      <w:pPr>
        <w:numPr>
          <w:ilvl w:val="0"/>
          <w:numId w:val="0"/>
        </w:numPr>
        <w:ind w:firstLine="1054" w:firstLineChars="500"/>
        <w:rPr>
          <w:rFonts w:hint="eastAsia"/>
          <w:b/>
          <w:bCs/>
          <w:sz w:val="21"/>
          <w:szCs w:val="21"/>
          <w:lang w:val="en-US" w:eastAsia="zh-CN"/>
        </w:rPr>
      </w:pPr>
      <w:r>
        <w:rPr>
          <w:rFonts w:hint="eastAsia"/>
          <w:b/>
          <w:bCs/>
          <w:sz w:val="21"/>
          <w:szCs w:val="21"/>
          <w:lang w:val="en-US" w:eastAsia="zh-CN"/>
        </w:rPr>
        <w:t>表 8.3 增强型机械固定条带（RMA）和搭接带的技术要求及主要性能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6"/>
        <w:gridCol w:w="2040"/>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项 目 </w:t>
            </w:r>
          </w:p>
        </w:tc>
        <w:tc>
          <w:tcPr>
            <w:tcW w:w="2040" w:type="dxa"/>
          </w:tcPr>
          <w:p>
            <w:pPr>
              <w:numPr>
                <w:ilvl w:val="0"/>
                <w:numId w:val="0"/>
              </w:numPr>
              <w:rPr>
                <w:rFonts w:hint="eastAsia"/>
                <w:b/>
                <w:bCs/>
                <w:sz w:val="21"/>
                <w:szCs w:val="21"/>
                <w:vertAlign w:val="baseline"/>
                <w:lang w:val="en-US" w:eastAsia="zh-CN"/>
              </w:rPr>
            </w:pPr>
            <w:r>
              <w:rPr>
                <w:rFonts w:hint="eastAsia"/>
              </w:rPr>
              <w:t xml:space="preserve"> 增强型三元乙丙 </w:t>
            </w:r>
          </w:p>
        </w:tc>
        <w:tc>
          <w:tcPr>
            <w:tcW w:w="2848" w:type="dxa"/>
          </w:tcPr>
          <w:p>
            <w:pPr>
              <w:numPr>
                <w:ilvl w:val="0"/>
                <w:numId w:val="0"/>
              </w:numPr>
              <w:rPr>
                <w:rFonts w:hint="eastAsia"/>
                <w:b/>
                <w:bCs/>
                <w:sz w:val="21"/>
                <w:szCs w:val="21"/>
                <w:vertAlign w:val="baseline"/>
                <w:lang w:val="en-US" w:eastAsia="zh-CN"/>
              </w:rPr>
            </w:pPr>
            <w:r>
              <w:rPr>
                <w:rFonts w:hint="eastAsia"/>
              </w:rPr>
              <w:t xml:space="preserve"> 搭接带（两边）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基本材料 </w:t>
            </w:r>
          </w:p>
        </w:tc>
        <w:tc>
          <w:tcPr>
            <w:tcW w:w="2040" w:type="dxa"/>
          </w:tcPr>
          <w:p>
            <w:pPr>
              <w:numPr>
                <w:ilvl w:val="0"/>
                <w:numId w:val="0"/>
              </w:numPr>
              <w:rPr>
                <w:rFonts w:hint="eastAsia"/>
                <w:b/>
                <w:bCs/>
                <w:sz w:val="21"/>
                <w:szCs w:val="21"/>
                <w:vertAlign w:val="baseline"/>
                <w:lang w:val="en-US" w:eastAsia="zh-CN"/>
              </w:rPr>
            </w:pPr>
            <w:r>
              <w:rPr>
                <w:rFonts w:hint="eastAsia"/>
              </w:rPr>
              <w:t xml:space="preserve"> 三元乙丙橡胶 </w:t>
            </w:r>
          </w:p>
        </w:tc>
        <w:tc>
          <w:tcPr>
            <w:tcW w:w="2848" w:type="dxa"/>
          </w:tcPr>
          <w:p>
            <w:pPr>
              <w:numPr>
                <w:ilvl w:val="0"/>
                <w:numId w:val="0"/>
              </w:numPr>
              <w:rPr>
                <w:rFonts w:hint="eastAsia"/>
                <w:b/>
                <w:bCs/>
                <w:sz w:val="21"/>
                <w:szCs w:val="21"/>
                <w:vertAlign w:val="baseline"/>
                <w:lang w:val="en-US" w:eastAsia="zh-CN"/>
              </w:rPr>
            </w:pPr>
            <w:r>
              <w:rPr>
                <w:rFonts w:hint="eastAsia"/>
              </w:rPr>
              <w:t xml:space="preserve"> 合成橡胶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厚度/mm </w:t>
            </w:r>
          </w:p>
        </w:tc>
        <w:tc>
          <w:tcPr>
            <w:tcW w:w="2040" w:type="dxa"/>
          </w:tcPr>
          <w:p>
            <w:pPr>
              <w:numPr>
                <w:ilvl w:val="0"/>
                <w:numId w:val="0"/>
              </w:numPr>
              <w:rPr>
                <w:rFonts w:hint="eastAsia"/>
                <w:b/>
                <w:bCs/>
                <w:sz w:val="21"/>
                <w:szCs w:val="21"/>
                <w:vertAlign w:val="baseline"/>
                <w:lang w:val="en-US" w:eastAsia="zh-CN"/>
              </w:rPr>
            </w:pPr>
            <w:r>
              <w:rPr>
                <w:rFonts w:hint="eastAsia"/>
              </w:rPr>
              <w:t xml:space="preserve">1.52 </w:t>
            </w:r>
          </w:p>
        </w:tc>
        <w:tc>
          <w:tcPr>
            <w:tcW w:w="2848" w:type="dxa"/>
          </w:tcPr>
          <w:p>
            <w:pPr>
              <w:numPr>
                <w:ilvl w:val="0"/>
                <w:numId w:val="0"/>
              </w:numPr>
              <w:rPr>
                <w:rFonts w:hint="eastAsia"/>
                <w:b/>
                <w:bCs/>
                <w:sz w:val="21"/>
                <w:szCs w:val="21"/>
                <w:vertAlign w:val="baseline"/>
                <w:lang w:val="en-US" w:eastAsia="zh-CN"/>
              </w:rPr>
            </w:pPr>
            <w:r>
              <w:rPr>
                <w:rFonts w:hint="eastAsia"/>
              </w:rPr>
              <w:t xml:space="preserve"> 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宽度/mm </w:t>
            </w:r>
          </w:p>
        </w:tc>
        <w:tc>
          <w:tcPr>
            <w:tcW w:w="2040" w:type="dxa"/>
          </w:tcPr>
          <w:p>
            <w:pPr>
              <w:numPr>
                <w:ilvl w:val="0"/>
                <w:numId w:val="0"/>
              </w:numPr>
              <w:rPr>
                <w:rFonts w:hint="eastAsia"/>
                <w:b/>
                <w:bCs/>
                <w:sz w:val="21"/>
                <w:szCs w:val="21"/>
                <w:vertAlign w:val="baseline"/>
                <w:lang w:val="en-US" w:eastAsia="zh-CN"/>
              </w:rPr>
            </w:pPr>
            <w:r>
              <w:rPr>
                <w:rFonts w:hint="eastAsia"/>
              </w:rPr>
              <w:t xml:space="preserve"> 245 </w:t>
            </w:r>
          </w:p>
        </w:tc>
        <w:tc>
          <w:tcPr>
            <w:tcW w:w="2848" w:type="dxa"/>
          </w:tcPr>
          <w:p>
            <w:pPr>
              <w:numPr>
                <w:ilvl w:val="0"/>
                <w:numId w:val="0"/>
              </w:numPr>
              <w:rPr>
                <w:rFonts w:hint="eastAsia"/>
                <w:b/>
                <w:bCs/>
                <w:sz w:val="21"/>
                <w:szCs w:val="21"/>
                <w:vertAlign w:val="baseline"/>
                <w:lang w:val="en-US" w:eastAsia="zh-CN"/>
              </w:rPr>
            </w:pPr>
            <w:r>
              <w:rPr>
                <w:rFonts w:hint="eastAsia"/>
              </w:rPr>
              <w:t xml:space="preserve">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持粘性/min</w:t>
            </w:r>
          </w:p>
        </w:tc>
        <w:tc>
          <w:tcPr>
            <w:tcW w:w="2040" w:type="dxa"/>
          </w:tcPr>
          <w:p>
            <w:pPr>
              <w:numPr>
                <w:ilvl w:val="0"/>
                <w:numId w:val="0"/>
              </w:numPr>
              <w:rPr>
                <w:rFonts w:hint="eastAsia"/>
                <w:b/>
                <w:bCs/>
                <w:sz w:val="21"/>
                <w:szCs w:val="21"/>
                <w:vertAlign w:val="baseline"/>
                <w:lang w:val="en-US" w:eastAsia="zh-CN"/>
              </w:rPr>
            </w:pPr>
          </w:p>
        </w:tc>
        <w:tc>
          <w:tcPr>
            <w:tcW w:w="2848" w:type="dxa"/>
          </w:tcPr>
          <w:p>
            <w:pPr>
              <w:numPr>
                <w:ilvl w:val="0"/>
                <w:numId w:val="0"/>
              </w:numPr>
              <w:rPr>
                <w:rFonts w:hint="eastAsia"/>
                <w:b/>
                <w:bCs/>
                <w:sz w:val="21"/>
                <w:szCs w:val="21"/>
                <w:vertAlign w:val="baseline"/>
                <w:lang w:val="en-US" w:eastAsia="zh-CN"/>
              </w:rPr>
            </w:pPr>
            <w:r>
              <w:rPr>
                <w:rFonts w:hint="eastAsia"/>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耐热性（80℃,2h） </w:t>
            </w:r>
          </w:p>
        </w:tc>
        <w:tc>
          <w:tcPr>
            <w:tcW w:w="2040" w:type="dxa"/>
          </w:tcPr>
          <w:p>
            <w:pPr>
              <w:numPr>
                <w:ilvl w:val="0"/>
                <w:numId w:val="0"/>
              </w:numPr>
              <w:rPr>
                <w:rFonts w:hint="eastAsia"/>
                <w:b/>
                <w:bCs/>
                <w:sz w:val="21"/>
                <w:szCs w:val="21"/>
                <w:vertAlign w:val="baseline"/>
                <w:lang w:val="en-US" w:eastAsia="zh-CN"/>
              </w:rPr>
            </w:pPr>
            <w:r>
              <w:rPr>
                <w:rFonts w:hint="eastAsia"/>
              </w:rPr>
              <w:t xml:space="preserve"> </w:t>
            </w:r>
          </w:p>
        </w:tc>
        <w:tc>
          <w:tcPr>
            <w:tcW w:w="2848" w:type="dxa"/>
          </w:tcPr>
          <w:p>
            <w:pPr>
              <w:numPr>
                <w:ilvl w:val="0"/>
                <w:numId w:val="0"/>
              </w:numPr>
              <w:rPr>
                <w:rFonts w:hint="eastAsia"/>
                <w:b/>
                <w:bCs/>
                <w:sz w:val="21"/>
                <w:szCs w:val="21"/>
                <w:vertAlign w:val="baseline"/>
                <w:lang w:val="en-US" w:eastAsia="zh-CN"/>
              </w:rPr>
            </w:pPr>
            <w:r>
              <w:rPr>
                <w:rFonts w:hint="eastAsia"/>
              </w:rPr>
              <w:t xml:space="preserve"> 无流淌、无龟裂、无变形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低温柔性/℃ </w:t>
            </w:r>
          </w:p>
        </w:tc>
        <w:tc>
          <w:tcPr>
            <w:tcW w:w="2040" w:type="dxa"/>
          </w:tcPr>
          <w:p>
            <w:pPr>
              <w:numPr>
                <w:ilvl w:val="0"/>
                <w:numId w:val="0"/>
              </w:numPr>
              <w:rPr>
                <w:rFonts w:hint="eastAsia"/>
                <w:b/>
                <w:bCs/>
                <w:sz w:val="21"/>
                <w:szCs w:val="21"/>
                <w:vertAlign w:val="baseline"/>
                <w:lang w:val="en-US" w:eastAsia="zh-CN"/>
              </w:rPr>
            </w:pPr>
          </w:p>
        </w:tc>
        <w:tc>
          <w:tcPr>
            <w:tcW w:w="2848" w:type="dxa"/>
          </w:tcPr>
          <w:p>
            <w:pPr>
              <w:numPr>
                <w:ilvl w:val="0"/>
                <w:numId w:val="0"/>
              </w:numPr>
              <w:rPr>
                <w:rFonts w:hint="eastAsia"/>
                <w:b/>
                <w:bCs/>
                <w:sz w:val="21"/>
                <w:szCs w:val="21"/>
                <w:vertAlign w:val="baseline"/>
                <w:lang w:val="en-US" w:eastAsia="zh-CN"/>
              </w:rPr>
            </w:pPr>
            <w:r>
              <w:rPr>
                <w:rFonts w:hint="eastAsia"/>
              </w:rPr>
              <w:t xml:space="preserve"> —40℃，无裂纹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剪切状态下粘合性（卷材）（N/mm） </w:t>
            </w:r>
          </w:p>
        </w:tc>
        <w:tc>
          <w:tcPr>
            <w:tcW w:w="2040" w:type="dxa"/>
          </w:tcPr>
          <w:p>
            <w:pPr>
              <w:numPr>
                <w:ilvl w:val="0"/>
                <w:numId w:val="0"/>
              </w:numPr>
              <w:rPr>
                <w:rFonts w:hint="eastAsia"/>
                <w:b/>
                <w:bCs/>
                <w:sz w:val="21"/>
                <w:szCs w:val="21"/>
                <w:vertAlign w:val="baseline"/>
                <w:lang w:val="en-US" w:eastAsia="zh-CN"/>
              </w:rPr>
            </w:pPr>
          </w:p>
        </w:tc>
        <w:tc>
          <w:tcPr>
            <w:tcW w:w="2848" w:type="dxa"/>
          </w:tcPr>
          <w:p>
            <w:pPr>
              <w:numPr>
                <w:ilvl w:val="0"/>
                <w:numId w:val="0"/>
              </w:numPr>
              <w:rPr>
                <w:rFonts w:hint="eastAsia"/>
                <w:b/>
                <w:bCs/>
                <w:sz w:val="21"/>
                <w:szCs w:val="21"/>
                <w:vertAlign w:val="baseline"/>
                <w:lang w:val="en-US" w:eastAsia="zh-CN"/>
              </w:rPr>
            </w:pPr>
            <w:r>
              <w:rPr>
                <w:rFonts w:hint="eastAsia"/>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 xml:space="preserve">剥离强度（卷材）（N/mm） </w:t>
            </w:r>
          </w:p>
        </w:tc>
        <w:tc>
          <w:tcPr>
            <w:tcW w:w="2040" w:type="dxa"/>
          </w:tcPr>
          <w:p>
            <w:pPr>
              <w:numPr>
                <w:ilvl w:val="0"/>
                <w:numId w:val="0"/>
              </w:numPr>
              <w:rPr>
                <w:rFonts w:hint="eastAsia"/>
                <w:b/>
                <w:bCs/>
                <w:sz w:val="21"/>
                <w:szCs w:val="21"/>
                <w:vertAlign w:val="baseline"/>
                <w:lang w:val="en-US" w:eastAsia="zh-CN"/>
              </w:rPr>
            </w:pPr>
          </w:p>
        </w:tc>
        <w:tc>
          <w:tcPr>
            <w:tcW w:w="2848" w:type="dxa"/>
          </w:tcPr>
          <w:p>
            <w:pPr>
              <w:numPr>
                <w:ilvl w:val="0"/>
                <w:numId w:val="0"/>
              </w:numPr>
              <w:rPr>
                <w:rFonts w:hint="eastAsia"/>
                <w:b/>
                <w:bCs/>
                <w:sz w:val="21"/>
                <w:szCs w:val="21"/>
                <w:vertAlign w:val="baseline"/>
                <w:lang w:val="en-US" w:eastAsia="zh-CN"/>
              </w:rPr>
            </w:pPr>
            <w:r>
              <w:rPr>
                <w:rFonts w:hint="eastAsia"/>
              </w:rPr>
              <w:t xml:space="preserve">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76" w:type="dxa"/>
          </w:tcPr>
          <w:p>
            <w:pPr>
              <w:numPr>
                <w:ilvl w:val="0"/>
                <w:numId w:val="0"/>
              </w:numPr>
              <w:rPr>
                <w:rFonts w:hint="eastAsia"/>
                <w:b/>
                <w:bCs/>
                <w:sz w:val="21"/>
                <w:szCs w:val="21"/>
                <w:vertAlign w:val="baseline"/>
                <w:lang w:val="en-US" w:eastAsia="zh-CN"/>
              </w:rPr>
            </w:pPr>
            <w:r>
              <w:rPr>
                <w:rFonts w:hint="eastAsia"/>
              </w:rPr>
              <w:t>热处理剥离强度保持率（卷材，80℃,168h）</w:t>
            </w:r>
          </w:p>
        </w:tc>
        <w:tc>
          <w:tcPr>
            <w:tcW w:w="2040" w:type="dxa"/>
          </w:tcPr>
          <w:p>
            <w:pPr>
              <w:numPr>
                <w:ilvl w:val="0"/>
                <w:numId w:val="0"/>
              </w:numPr>
              <w:rPr>
                <w:rFonts w:hint="eastAsia"/>
                <w:b/>
                <w:bCs/>
                <w:sz w:val="21"/>
                <w:szCs w:val="21"/>
                <w:vertAlign w:val="baseline"/>
                <w:lang w:val="en-US" w:eastAsia="zh-CN"/>
              </w:rPr>
            </w:pPr>
          </w:p>
        </w:tc>
        <w:tc>
          <w:tcPr>
            <w:tcW w:w="2848" w:type="dxa"/>
          </w:tcPr>
          <w:p>
            <w:pPr>
              <w:numPr>
                <w:ilvl w:val="0"/>
                <w:numId w:val="0"/>
              </w:numPr>
              <w:rPr>
                <w:rFonts w:hint="eastAsia"/>
                <w:b/>
                <w:bCs/>
                <w:sz w:val="21"/>
                <w:szCs w:val="21"/>
                <w:vertAlign w:val="baseline"/>
                <w:lang w:val="en-US" w:eastAsia="zh-CN"/>
              </w:rPr>
            </w:pPr>
            <w:r>
              <w:rPr>
                <w:rFonts w:hint="eastAsia"/>
                <w:b/>
                <w:bCs/>
                <w:sz w:val="21"/>
                <w:szCs w:val="21"/>
                <w:vertAlign w:val="baseline"/>
                <w:lang w:val="en-US" w:eastAsia="zh-CN"/>
              </w:rPr>
              <w:t>≥80</w:t>
            </w:r>
          </w:p>
        </w:tc>
      </w:tr>
    </w:tbl>
    <w:p>
      <w:pPr>
        <w:numPr>
          <w:ilvl w:val="0"/>
          <w:numId w:val="0"/>
        </w:numPr>
        <w:ind w:firstLine="1897" w:firstLineChars="900"/>
        <w:rPr>
          <w:rFonts w:hint="eastAsia"/>
          <w:b/>
          <w:bCs/>
          <w:sz w:val="21"/>
          <w:szCs w:val="21"/>
          <w:lang w:val="en-US" w:eastAsia="zh-CN"/>
        </w:rPr>
      </w:pPr>
      <w:r>
        <w:rPr>
          <w:rFonts w:hint="eastAsia"/>
          <w:b/>
          <w:bCs/>
          <w:sz w:val="21"/>
          <w:szCs w:val="21"/>
          <w:lang w:val="en-US" w:eastAsia="zh-CN"/>
        </w:rPr>
        <w:t>表 8.4 三元乙丙橡胶（EPDM）防水卷材主要性能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04"/>
        <w:gridCol w:w="108"/>
        <w:gridCol w:w="2892"/>
        <w:gridCol w:w="2520"/>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4768" w:type="dxa"/>
            <w:gridSpan w:val="4"/>
            <w:vMerge w:val="restart"/>
          </w:tcPr>
          <w:p>
            <w:pPr>
              <w:numPr>
                <w:ilvl w:val="0"/>
                <w:numId w:val="0"/>
              </w:numPr>
              <w:rPr>
                <w:rFonts w:hint="eastAsia"/>
              </w:rPr>
            </w:pPr>
            <w:r>
              <w:rPr>
                <w:rFonts w:hint="eastAsia"/>
              </w:rPr>
              <w:t>试验项目</w:t>
            </w:r>
          </w:p>
          <w:p>
            <w:pPr>
              <w:numPr>
                <w:ilvl w:val="0"/>
                <w:numId w:val="0"/>
              </w:numPr>
              <w:rPr>
                <w:rFonts w:hint="eastAsia"/>
                <w:lang w:val="en-US" w:eastAsia="zh-CN"/>
              </w:rPr>
            </w:pPr>
          </w:p>
        </w:tc>
        <w:tc>
          <w:tcPr>
            <w:tcW w:w="4996" w:type="dxa"/>
            <w:gridSpan w:val="2"/>
          </w:tcPr>
          <w:p>
            <w:pPr>
              <w:numPr>
                <w:ilvl w:val="0"/>
                <w:numId w:val="0"/>
              </w:numPr>
              <w:rPr>
                <w:rFonts w:hint="eastAsia"/>
                <w:b/>
                <w:bCs/>
                <w:sz w:val="21"/>
                <w:szCs w:val="21"/>
                <w:vertAlign w:val="baseline"/>
                <w:lang w:val="en-US" w:eastAsia="zh-CN"/>
              </w:rPr>
            </w:pPr>
            <w:r>
              <w:rPr>
                <w:rFonts w:hint="eastAsia"/>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4768" w:type="dxa"/>
            <w:gridSpan w:val="4"/>
            <w:vMerge w:val="continue"/>
          </w:tcPr>
          <w:p>
            <w:pPr>
              <w:numPr>
                <w:ilvl w:val="0"/>
                <w:numId w:val="0"/>
              </w:numPr>
              <w:rPr>
                <w:rFonts w:hint="eastAsia"/>
                <w:b/>
                <w:bCs/>
                <w:sz w:val="21"/>
                <w:szCs w:val="21"/>
                <w:vertAlign w:val="baseline"/>
                <w:lang w:val="en-US" w:eastAsia="zh-CN"/>
              </w:rPr>
            </w:pPr>
          </w:p>
        </w:tc>
        <w:tc>
          <w:tcPr>
            <w:tcW w:w="2520" w:type="dxa"/>
          </w:tcPr>
          <w:p>
            <w:pPr>
              <w:numPr>
                <w:ilvl w:val="0"/>
                <w:numId w:val="0"/>
              </w:numPr>
              <w:rPr>
                <w:rFonts w:hint="eastAsia"/>
                <w:b/>
                <w:bCs/>
                <w:sz w:val="21"/>
                <w:szCs w:val="21"/>
                <w:vertAlign w:val="baseline"/>
                <w:lang w:val="en-US" w:eastAsia="zh-CN"/>
              </w:rPr>
            </w:pPr>
            <w:r>
              <w:rPr>
                <w:rFonts w:hint="eastAsia"/>
              </w:rPr>
              <w:t>无增强</w:t>
            </w:r>
          </w:p>
        </w:tc>
        <w:tc>
          <w:tcPr>
            <w:tcW w:w="2476" w:type="dxa"/>
          </w:tcPr>
          <w:p>
            <w:pPr>
              <w:numPr>
                <w:ilvl w:val="0"/>
                <w:numId w:val="0"/>
              </w:numPr>
              <w:rPr>
                <w:rFonts w:hint="eastAsia"/>
                <w:b/>
                <w:bCs/>
                <w:sz w:val="21"/>
                <w:szCs w:val="21"/>
                <w:vertAlign w:val="baseline"/>
                <w:lang w:val="en-US" w:eastAsia="zh-CN"/>
              </w:rPr>
            </w:pPr>
            <w:r>
              <w:rPr>
                <w:rFonts w:hint="eastAsia"/>
              </w:rPr>
              <w:t>内增强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4768" w:type="dxa"/>
            <w:gridSpan w:val="4"/>
          </w:tcPr>
          <w:p>
            <w:pPr>
              <w:numPr>
                <w:ilvl w:val="0"/>
                <w:numId w:val="0"/>
              </w:numPr>
              <w:rPr>
                <w:rFonts w:hint="eastAsia"/>
                <w:b/>
                <w:bCs/>
                <w:sz w:val="21"/>
                <w:szCs w:val="21"/>
                <w:vertAlign w:val="baseline"/>
                <w:lang w:val="en-US" w:eastAsia="zh-CN"/>
              </w:rPr>
            </w:pPr>
            <w:r>
              <w:rPr>
                <w:rFonts w:hint="eastAsia"/>
              </w:rPr>
              <w:t>最大拉力/（N/10mm）</w:t>
            </w:r>
          </w:p>
        </w:tc>
        <w:tc>
          <w:tcPr>
            <w:tcW w:w="2520" w:type="dxa"/>
          </w:tcPr>
          <w:p>
            <w:pPr>
              <w:numPr>
                <w:ilvl w:val="0"/>
                <w:numId w:val="0"/>
              </w:numPr>
              <w:rPr>
                <w:rFonts w:hint="eastAsia"/>
              </w:rPr>
            </w:pPr>
            <w:r>
              <w:rPr>
                <w:rFonts w:hint="eastAsia"/>
              </w:rPr>
              <w:t>—</w:t>
            </w:r>
          </w:p>
        </w:tc>
        <w:tc>
          <w:tcPr>
            <w:tcW w:w="2476" w:type="dxa"/>
          </w:tcPr>
          <w:p>
            <w:pPr>
              <w:numPr>
                <w:ilvl w:val="0"/>
                <w:numId w:val="0"/>
              </w:numPr>
              <w:rPr>
                <w:rFonts w:hint="eastAsia"/>
              </w:rPr>
            </w:pPr>
            <w:r>
              <w:rPr>
                <w:rFonts w:hint="eastAsia"/>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gridSpan w:val="2"/>
            <w:vMerge w:val="restart"/>
          </w:tcPr>
          <w:p>
            <w:pPr>
              <w:numPr>
                <w:ilvl w:val="0"/>
                <w:numId w:val="0"/>
              </w:numPr>
              <w:rPr>
                <w:rFonts w:hint="eastAsia"/>
                <w:lang w:val="en-US" w:eastAsia="zh-CN"/>
              </w:rPr>
            </w:pPr>
            <w:r>
              <w:rPr>
                <w:rFonts w:hint="eastAsia"/>
              </w:rPr>
              <w:t xml:space="preserve"> 拉伸强度（MPa）</w:t>
            </w:r>
          </w:p>
        </w:tc>
        <w:tc>
          <w:tcPr>
            <w:tcW w:w="3000" w:type="dxa"/>
            <w:gridSpan w:val="2"/>
          </w:tcPr>
          <w:p>
            <w:pPr>
              <w:numPr>
                <w:ilvl w:val="0"/>
                <w:numId w:val="0"/>
              </w:numPr>
              <w:rPr>
                <w:rFonts w:hint="eastAsia"/>
                <w:b/>
                <w:bCs/>
                <w:sz w:val="21"/>
                <w:szCs w:val="21"/>
                <w:vertAlign w:val="baseline"/>
                <w:lang w:val="en-US" w:eastAsia="zh-CN"/>
              </w:rPr>
            </w:pPr>
            <w:r>
              <w:rPr>
                <w:rFonts w:hint="eastAsia"/>
              </w:rPr>
              <w:t>23℃</w:t>
            </w:r>
          </w:p>
        </w:tc>
        <w:tc>
          <w:tcPr>
            <w:tcW w:w="2520" w:type="dxa"/>
          </w:tcPr>
          <w:p>
            <w:pPr>
              <w:numPr>
                <w:ilvl w:val="0"/>
                <w:numId w:val="0"/>
              </w:numPr>
              <w:rPr>
                <w:rFonts w:hint="eastAsia"/>
                <w:b/>
                <w:bCs/>
                <w:sz w:val="21"/>
                <w:szCs w:val="21"/>
                <w:vertAlign w:val="baseline"/>
                <w:lang w:val="en-US" w:eastAsia="zh-CN"/>
              </w:rPr>
            </w:pPr>
            <w:r>
              <w:rPr>
                <w:rFonts w:hint="eastAsia"/>
              </w:rPr>
              <w:t xml:space="preserve"> ≥7.5 </w:t>
            </w:r>
          </w:p>
        </w:tc>
        <w:tc>
          <w:tcPr>
            <w:tcW w:w="2476" w:type="dxa"/>
          </w:tcPr>
          <w:p>
            <w:pPr>
              <w:numPr>
                <w:ilvl w:val="0"/>
                <w:numId w:val="0"/>
              </w:numPr>
              <w:rPr>
                <w:rFonts w:hint="eastAsia"/>
                <w:b/>
                <w:bCs/>
                <w:sz w:val="21"/>
                <w:szCs w:val="21"/>
                <w:vertAlign w:val="baseline"/>
                <w:lang w:val="en-US"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gridSpan w:val="2"/>
            <w:vMerge w:val="continue"/>
          </w:tcPr>
          <w:p>
            <w:pPr>
              <w:numPr>
                <w:ilvl w:val="0"/>
                <w:numId w:val="0"/>
              </w:numPr>
              <w:rPr>
                <w:rFonts w:hint="eastAsia"/>
                <w:b/>
                <w:bCs/>
                <w:sz w:val="21"/>
                <w:szCs w:val="21"/>
                <w:vertAlign w:val="baseline"/>
                <w:lang w:val="en-US" w:eastAsia="zh-CN"/>
              </w:rPr>
            </w:pPr>
          </w:p>
        </w:tc>
        <w:tc>
          <w:tcPr>
            <w:tcW w:w="3000" w:type="dxa"/>
            <w:gridSpan w:val="2"/>
          </w:tcPr>
          <w:p>
            <w:pPr>
              <w:numPr>
                <w:ilvl w:val="0"/>
                <w:numId w:val="0"/>
              </w:numPr>
              <w:rPr>
                <w:rFonts w:hint="eastAsia"/>
                <w:b/>
                <w:bCs/>
                <w:sz w:val="21"/>
                <w:szCs w:val="21"/>
                <w:vertAlign w:val="baseline"/>
                <w:lang w:val="en-US" w:eastAsia="zh-CN"/>
              </w:rPr>
            </w:pPr>
            <w:r>
              <w:rPr>
                <w:rFonts w:hint="eastAsia"/>
              </w:rPr>
              <w:t>60℃</w:t>
            </w:r>
          </w:p>
        </w:tc>
        <w:tc>
          <w:tcPr>
            <w:tcW w:w="2520" w:type="dxa"/>
          </w:tcPr>
          <w:p>
            <w:pPr>
              <w:numPr>
                <w:ilvl w:val="0"/>
                <w:numId w:val="0"/>
              </w:numPr>
              <w:rPr>
                <w:rFonts w:hint="eastAsia"/>
                <w:b/>
                <w:bCs/>
                <w:sz w:val="21"/>
                <w:szCs w:val="21"/>
                <w:vertAlign w:val="baseline"/>
                <w:lang w:val="en-US" w:eastAsia="zh-CN"/>
              </w:rPr>
            </w:pPr>
            <w:r>
              <w:rPr>
                <w:rFonts w:hint="eastAsia"/>
              </w:rPr>
              <w:t xml:space="preserve"> ≥2.3 </w:t>
            </w:r>
          </w:p>
        </w:tc>
        <w:tc>
          <w:tcPr>
            <w:tcW w:w="2476" w:type="dxa"/>
          </w:tcPr>
          <w:p>
            <w:pPr>
              <w:numPr>
                <w:ilvl w:val="0"/>
                <w:numId w:val="0"/>
              </w:numPr>
              <w:rPr>
                <w:rFonts w:hint="eastAsia"/>
                <w:b/>
                <w:bCs/>
                <w:sz w:val="21"/>
                <w:szCs w:val="21"/>
                <w:vertAlign w:val="baseline"/>
                <w:lang w:val="en-US"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rPr>
              <w:t>最大拉力时伸长率/％</w:t>
            </w:r>
          </w:p>
        </w:tc>
        <w:tc>
          <w:tcPr>
            <w:tcW w:w="2520" w:type="dxa"/>
          </w:tcPr>
          <w:p>
            <w:pPr>
              <w:numPr>
                <w:ilvl w:val="0"/>
                <w:numId w:val="0"/>
              </w:numPr>
              <w:rPr>
                <w:rFonts w:hint="eastAsia"/>
                <w:b/>
                <w:bCs/>
                <w:sz w:val="21"/>
                <w:szCs w:val="21"/>
                <w:vertAlign w:val="baseline"/>
                <w:lang w:val="en-US" w:eastAsia="zh-CN"/>
              </w:rPr>
            </w:pPr>
            <w:r>
              <w:rPr>
                <w:rFonts w:hint="eastAsia"/>
              </w:rPr>
              <w:t>—</w:t>
            </w:r>
          </w:p>
        </w:tc>
        <w:tc>
          <w:tcPr>
            <w:tcW w:w="2476" w:type="dxa"/>
          </w:tcPr>
          <w:p>
            <w:pPr>
              <w:numPr>
                <w:ilvl w:val="0"/>
                <w:numId w:val="0"/>
              </w:numPr>
              <w:rPr>
                <w:rFonts w:hint="eastAsia"/>
                <w:b/>
                <w:bCs/>
                <w:sz w:val="21"/>
                <w:szCs w:val="21"/>
                <w:vertAlign w:val="baseline"/>
                <w:lang w:val="en-US" w:eastAsia="zh-CN"/>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gridSpan w:val="3"/>
            <w:vMerge w:val="restart"/>
          </w:tcPr>
          <w:p>
            <w:pPr>
              <w:numPr>
                <w:ilvl w:val="0"/>
                <w:numId w:val="0"/>
              </w:numPr>
              <w:rPr>
                <w:rFonts w:hint="eastAsia"/>
              </w:rPr>
            </w:pPr>
            <w:r>
              <w:rPr>
                <w:rFonts w:hint="eastAsia"/>
              </w:rPr>
              <w:t xml:space="preserve"> </w:t>
            </w:r>
          </w:p>
          <w:p>
            <w:pPr>
              <w:numPr>
                <w:ilvl w:val="0"/>
                <w:numId w:val="0"/>
              </w:numPr>
              <w:rPr>
                <w:rFonts w:hint="eastAsia"/>
                <w:lang w:val="en-US" w:eastAsia="zh-CN"/>
              </w:rPr>
            </w:pPr>
            <w:r>
              <w:rPr>
                <w:rFonts w:hint="eastAsia"/>
              </w:rPr>
              <w:t>断裂伸长率（%）</w:t>
            </w:r>
          </w:p>
        </w:tc>
        <w:tc>
          <w:tcPr>
            <w:tcW w:w="2892" w:type="dxa"/>
          </w:tcPr>
          <w:p>
            <w:pPr>
              <w:numPr>
                <w:ilvl w:val="0"/>
                <w:numId w:val="0"/>
              </w:numPr>
              <w:rPr>
                <w:rFonts w:hint="eastAsia"/>
                <w:b/>
                <w:bCs/>
                <w:sz w:val="21"/>
                <w:szCs w:val="21"/>
                <w:vertAlign w:val="baseline"/>
                <w:lang w:val="en-US" w:eastAsia="zh-CN"/>
              </w:rPr>
            </w:pPr>
            <w:r>
              <w:rPr>
                <w:rFonts w:hint="eastAsia"/>
              </w:rPr>
              <w:t xml:space="preserve">23℃ </w:t>
            </w:r>
          </w:p>
        </w:tc>
        <w:tc>
          <w:tcPr>
            <w:tcW w:w="2520" w:type="dxa"/>
          </w:tcPr>
          <w:p>
            <w:pPr>
              <w:numPr>
                <w:ilvl w:val="0"/>
                <w:numId w:val="0"/>
              </w:numPr>
              <w:rPr>
                <w:rFonts w:hint="eastAsia"/>
                <w:b/>
                <w:bCs/>
                <w:sz w:val="21"/>
                <w:szCs w:val="21"/>
                <w:vertAlign w:val="baseline"/>
                <w:lang w:val="en-US" w:eastAsia="zh-CN"/>
              </w:rPr>
            </w:pPr>
            <w:r>
              <w:rPr>
                <w:rFonts w:hint="eastAsia"/>
              </w:rPr>
              <w:t>≥450</w:t>
            </w:r>
          </w:p>
        </w:tc>
        <w:tc>
          <w:tcPr>
            <w:tcW w:w="2476" w:type="dxa"/>
          </w:tcPr>
          <w:p>
            <w:pPr>
              <w:numPr>
                <w:ilvl w:val="0"/>
                <w:numId w:val="0"/>
              </w:numPr>
              <w:rPr>
                <w:rFonts w:hint="eastAsia"/>
                <w:b/>
                <w:bCs/>
                <w:sz w:val="21"/>
                <w:szCs w:val="21"/>
                <w:vertAlign w:val="baseline"/>
                <w:lang w:val="en-US"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gridSpan w:val="3"/>
            <w:vMerge w:val="continue"/>
          </w:tcPr>
          <w:p>
            <w:pPr>
              <w:numPr>
                <w:ilvl w:val="0"/>
                <w:numId w:val="0"/>
              </w:numPr>
              <w:rPr>
                <w:rFonts w:hint="eastAsia"/>
                <w:b/>
                <w:bCs/>
                <w:sz w:val="21"/>
                <w:szCs w:val="21"/>
                <w:vertAlign w:val="baseline"/>
                <w:lang w:val="en-US" w:eastAsia="zh-CN"/>
              </w:rPr>
            </w:pPr>
          </w:p>
        </w:tc>
        <w:tc>
          <w:tcPr>
            <w:tcW w:w="2892" w:type="dxa"/>
          </w:tcPr>
          <w:p>
            <w:pPr>
              <w:numPr>
                <w:ilvl w:val="0"/>
                <w:numId w:val="0"/>
              </w:numPr>
              <w:rPr>
                <w:rFonts w:hint="eastAsia"/>
                <w:b/>
                <w:bCs/>
                <w:sz w:val="21"/>
                <w:szCs w:val="21"/>
                <w:vertAlign w:val="baseline"/>
                <w:lang w:val="en-US" w:eastAsia="zh-CN"/>
              </w:rPr>
            </w:pPr>
            <w:r>
              <w:rPr>
                <w:rFonts w:hint="eastAsia"/>
              </w:rPr>
              <w:t>-20℃</w:t>
            </w:r>
          </w:p>
        </w:tc>
        <w:tc>
          <w:tcPr>
            <w:tcW w:w="2520" w:type="dxa"/>
          </w:tcPr>
          <w:p>
            <w:pPr>
              <w:numPr>
                <w:ilvl w:val="0"/>
                <w:numId w:val="0"/>
              </w:numPr>
              <w:rPr>
                <w:rFonts w:hint="eastAsia"/>
                <w:b/>
                <w:bCs/>
                <w:sz w:val="21"/>
                <w:szCs w:val="21"/>
                <w:vertAlign w:val="baseline"/>
                <w:lang w:val="en-US" w:eastAsia="zh-CN"/>
              </w:rPr>
            </w:pPr>
            <w:r>
              <w:rPr>
                <w:rFonts w:hint="eastAsia"/>
              </w:rPr>
              <w:t>≥200</w:t>
            </w:r>
          </w:p>
        </w:tc>
        <w:tc>
          <w:tcPr>
            <w:tcW w:w="2476" w:type="dxa"/>
          </w:tcPr>
          <w:p>
            <w:pPr>
              <w:numPr>
                <w:ilvl w:val="0"/>
                <w:numId w:val="0"/>
              </w:numPr>
              <w:rPr>
                <w:rFonts w:hint="eastAsia"/>
                <w:b/>
                <w:bCs/>
                <w:sz w:val="21"/>
                <w:szCs w:val="21"/>
                <w:vertAlign w:val="baseline"/>
                <w:lang w:val="en-US"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rPr>
              <w:t xml:space="preserve">  钉杆撕裂强度（横向）/N</w:t>
            </w:r>
          </w:p>
        </w:tc>
        <w:tc>
          <w:tcPr>
            <w:tcW w:w="2520" w:type="dxa"/>
          </w:tcPr>
          <w:p>
            <w:pPr>
              <w:numPr>
                <w:ilvl w:val="0"/>
                <w:numId w:val="0"/>
              </w:numPr>
              <w:rPr>
                <w:rFonts w:hint="eastAsia"/>
                <w:b/>
                <w:bCs/>
                <w:sz w:val="21"/>
                <w:szCs w:val="21"/>
                <w:vertAlign w:val="baseline"/>
                <w:lang w:val="en-US" w:eastAsia="zh-CN"/>
              </w:rPr>
            </w:pPr>
            <w:r>
              <w:rPr>
                <w:rFonts w:hint="eastAsia"/>
              </w:rPr>
              <w:t>≥200</w:t>
            </w:r>
          </w:p>
        </w:tc>
        <w:tc>
          <w:tcPr>
            <w:tcW w:w="2476" w:type="dxa"/>
          </w:tcPr>
          <w:p>
            <w:pPr>
              <w:numPr>
                <w:ilvl w:val="0"/>
                <w:numId w:val="0"/>
              </w:numPr>
              <w:rPr>
                <w:rFonts w:hint="eastAsia"/>
                <w:b/>
                <w:bCs/>
                <w:sz w:val="21"/>
                <w:szCs w:val="21"/>
                <w:vertAlign w:val="baseline"/>
                <w:lang w:val="en-US" w:eastAsia="zh-CN"/>
              </w:rPr>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rPr>
              <w:t>撕裂强度/（KN/m）</w:t>
            </w:r>
          </w:p>
        </w:tc>
        <w:tc>
          <w:tcPr>
            <w:tcW w:w="2520" w:type="dxa"/>
          </w:tcPr>
          <w:p>
            <w:pPr>
              <w:numPr>
                <w:ilvl w:val="0"/>
                <w:numId w:val="0"/>
              </w:numPr>
              <w:rPr>
                <w:rFonts w:hint="eastAsia"/>
                <w:b/>
                <w:bCs/>
                <w:sz w:val="21"/>
                <w:szCs w:val="21"/>
                <w:vertAlign w:val="baseline"/>
                <w:lang w:val="en-US" w:eastAsia="zh-CN"/>
              </w:rPr>
            </w:pPr>
            <w:r>
              <w:rPr>
                <w:rFonts w:hint="eastAsia"/>
              </w:rPr>
              <w:t>≥25</w:t>
            </w:r>
          </w:p>
        </w:tc>
        <w:tc>
          <w:tcPr>
            <w:tcW w:w="2476" w:type="dxa"/>
          </w:tcPr>
          <w:p>
            <w:pPr>
              <w:numPr>
                <w:ilvl w:val="0"/>
                <w:numId w:val="0"/>
              </w:numPr>
              <w:rPr>
                <w:rFonts w:hint="eastAsia"/>
                <w:b/>
                <w:bCs/>
                <w:sz w:val="21"/>
                <w:szCs w:val="21"/>
                <w:vertAlign w:val="baseline"/>
                <w:lang w:val="en-US"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rPr>
              <w:t>低温弯折性 -40℃，无裂纹 -40℃，无裂纹</w:t>
            </w:r>
          </w:p>
        </w:tc>
        <w:tc>
          <w:tcPr>
            <w:tcW w:w="2520" w:type="dxa"/>
          </w:tcPr>
          <w:p>
            <w:pPr>
              <w:numPr>
                <w:ilvl w:val="0"/>
                <w:numId w:val="0"/>
              </w:numPr>
              <w:rPr>
                <w:rFonts w:hint="eastAsia"/>
                <w:b/>
                <w:bCs/>
                <w:sz w:val="21"/>
                <w:szCs w:val="21"/>
                <w:vertAlign w:val="baseline"/>
                <w:lang w:val="en-US" w:eastAsia="zh-CN"/>
              </w:rPr>
            </w:pPr>
            <w:r>
              <w:rPr>
                <w:rFonts w:hint="eastAsia"/>
              </w:rPr>
              <w:t xml:space="preserve"> -40℃，无裂纹 </w:t>
            </w:r>
          </w:p>
        </w:tc>
        <w:tc>
          <w:tcPr>
            <w:tcW w:w="2476" w:type="dxa"/>
          </w:tcPr>
          <w:p>
            <w:pPr>
              <w:numPr>
                <w:ilvl w:val="0"/>
                <w:numId w:val="0"/>
              </w:numPr>
              <w:rPr>
                <w:rFonts w:hint="eastAsia"/>
                <w:b/>
                <w:bCs/>
                <w:sz w:val="21"/>
                <w:szCs w:val="21"/>
                <w:vertAlign w:val="baseline"/>
                <w:lang w:val="en-US" w:eastAsia="zh-CN"/>
              </w:rPr>
            </w:pPr>
            <w:r>
              <w:rPr>
                <w:rFonts w:hint="eastAsia"/>
              </w:rPr>
              <w:t xml:space="preserve"> -40℃，无裂纹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rPr>
              <w:t>臭氧老化（500pphm，40℃，50％，168h）</w:t>
            </w:r>
          </w:p>
        </w:tc>
        <w:tc>
          <w:tcPr>
            <w:tcW w:w="2520" w:type="dxa"/>
          </w:tcPr>
          <w:p>
            <w:pPr>
              <w:numPr>
                <w:ilvl w:val="0"/>
                <w:numId w:val="0"/>
              </w:numPr>
              <w:rPr>
                <w:rFonts w:hint="eastAsia"/>
                <w:b/>
                <w:bCs/>
                <w:sz w:val="21"/>
                <w:szCs w:val="21"/>
                <w:vertAlign w:val="baseline"/>
                <w:lang w:val="en-US" w:eastAsia="zh-CN"/>
              </w:rPr>
            </w:pPr>
            <w:r>
              <w:rPr>
                <w:rFonts w:hint="eastAsia"/>
              </w:rPr>
              <w:t>无裂纹（伸长率 50%时）</w:t>
            </w:r>
          </w:p>
        </w:tc>
        <w:tc>
          <w:tcPr>
            <w:tcW w:w="2476" w:type="dxa"/>
          </w:tcPr>
          <w:p>
            <w:pPr>
              <w:numPr>
                <w:ilvl w:val="0"/>
                <w:numId w:val="0"/>
              </w:numPr>
              <w:rPr>
                <w:rFonts w:hint="eastAsia"/>
                <w:b/>
                <w:bCs/>
                <w:sz w:val="21"/>
                <w:szCs w:val="21"/>
                <w:vertAlign w:val="baseline"/>
                <w:lang w:val="en-US" w:eastAsia="zh-CN"/>
              </w:rPr>
            </w:pPr>
            <w:r>
              <w:rPr>
                <w:rFonts w:hint="eastAsia"/>
              </w:rPr>
              <w:t>无裂纹（伸长率 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rPr>
              <w:t xml:space="preserve">热处理尺寸变化率（80℃，168h）/％ </w:t>
            </w:r>
          </w:p>
        </w:tc>
        <w:tc>
          <w:tcPr>
            <w:tcW w:w="2520" w:type="dxa"/>
          </w:tcPr>
          <w:p>
            <w:pPr>
              <w:numPr>
                <w:ilvl w:val="0"/>
                <w:numId w:val="0"/>
              </w:numPr>
              <w:rPr>
                <w:rFonts w:hint="eastAsia"/>
                <w:b/>
                <w:bCs/>
                <w:sz w:val="21"/>
                <w:szCs w:val="21"/>
                <w:vertAlign w:val="baseline"/>
                <w:lang w:val="en-US" w:eastAsia="zh-CN"/>
              </w:rPr>
            </w:pPr>
            <w:r>
              <w:rPr>
                <w:rFonts w:hint="eastAsia"/>
              </w:rPr>
              <w:t xml:space="preserve"> ≤1</w:t>
            </w:r>
          </w:p>
        </w:tc>
        <w:tc>
          <w:tcPr>
            <w:tcW w:w="2476" w:type="dxa"/>
          </w:tcPr>
          <w:p>
            <w:pPr>
              <w:numPr>
                <w:ilvl w:val="0"/>
                <w:numId w:val="0"/>
              </w:numPr>
              <w:rPr>
                <w:rFonts w:hint="eastAsia"/>
                <w:b/>
                <w:bCs/>
                <w:sz w:val="21"/>
                <w:szCs w:val="21"/>
                <w:vertAlign w:val="baseline"/>
                <w:lang w:val="en-US" w:eastAsia="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接缝剥离强度（N/mm） </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≥2.0 或卷材破坏 </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≥2.0 或卷材破坏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8" w:type="dxa"/>
            <w:gridSpan w:val="4"/>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浸水后接缝剥离强度保持率（常温浸水 168h） </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≥7.0 或卷材破坏 </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≥7.0 或卷材破坏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restart"/>
          </w:tcPr>
          <w:p>
            <w:pPr>
              <w:numPr>
                <w:ilvl w:val="0"/>
                <w:numId w:val="0"/>
              </w:numPr>
              <w:rPr>
                <w:rFonts w:hint="eastAsia"/>
              </w:rPr>
            </w:pPr>
            <w:r>
              <w:rPr>
                <w:rFonts w:hint="eastAsia"/>
              </w:rPr>
              <w:t>热空气老化</w:t>
            </w:r>
          </w:p>
          <w:p>
            <w:pPr>
              <w:numPr>
                <w:ilvl w:val="0"/>
                <w:numId w:val="0"/>
              </w:numPr>
              <w:rPr>
                <w:rFonts w:hint="eastAsia"/>
              </w:rPr>
            </w:pPr>
            <w:r>
              <w:rPr>
                <w:rFonts w:hint="eastAsia"/>
              </w:rPr>
              <w:t>（80℃，168h）</w:t>
            </w:r>
          </w:p>
          <w:p>
            <w:pPr>
              <w:numPr>
                <w:ilvl w:val="0"/>
                <w:numId w:val="0"/>
              </w:numPr>
              <w:rPr>
                <w:rFonts w:hint="eastAsia"/>
                <w:lang w:val="en-US" w:eastAsia="zh-CN"/>
              </w:rPr>
            </w:pPr>
          </w:p>
        </w:tc>
        <w:tc>
          <w:tcPr>
            <w:tcW w:w="3204" w:type="dxa"/>
            <w:gridSpan w:val="3"/>
          </w:tcPr>
          <w:p>
            <w:pPr>
              <w:numPr>
                <w:ilvl w:val="0"/>
                <w:numId w:val="0"/>
              </w:numPr>
              <w:rPr>
                <w:rFonts w:hint="eastAsia"/>
                <w:b/>
                <w:bCs/>
                <w:sz w:val="21"/>
                <w:szCs w:val="21"/>
                <w:vertAlign w:val="baseline"/>
                <w:lang w:val="en-US" w:eastAsia="zh-CN"/>
              </w:rPr>
            </w:pPr>
            <w:r>
              <w:rPr>
                <w:rFonts w:hint="eastAsia"/>
              </w:rPr>
              <w:t xml:space="preserve">拉力（强度）保持率/％ </w:t>
            </w:r>
          </w:p>
        </w:tc>
        <w:tc>
          <w:tcPr>
            <w:tcW w:w="2520" w:type="dxa"/>
          </w:tcPr>
          <w:p>
            <w:pPr>
              <w:numPr>
                <w:ilvl w:val="0"/>
                <w:numId w:val="0"/>
              </w:numPr>
              <w:rPr>
                <w:rFonts w:hint="eastAsia"/>
                <w:b/>
                <w:bCs/>
                <w:sz w:val="21"/>
                <w:szCs w:val="21"/>
                <w:vertAlign w:val="baseline"/>
                <w:lang w:val="en-US" w:eastAsia="zh-CN"/>
              </w:rPr>
            </w:pPr>
            <w:r>
              <w:rPr>
                <w:rFonts w:hint="eastAsia"/>
              </w:rPr>
              <w:t>≥80</w:t>
            </w:r>
          </w:p>
        </w:tc>
        <w:tc>
          <w:tcPr>
            <w:tcW w:w="2476" w:type="dxa"/>
          </w:tcPr>
          <w:p>
            <w:pPr>
              <w:numPr>
                <w:ilvl w:val="0"/>
                <w:numId w:val="0"/>
              </w:numPr>
              <w:rPr>
                <w:rFonts w:hint="eastAsia"/>
                <w:b/>
                <w:bCs/>
                <w:sz w:val="21"/>
                <w:szCs w:val="21"/>
                <w:vertAlign w:val="baseline"/>
                <w:lang w:val="en-US" w:eastAsia="zh-CN"/>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continue"/>
          </w:tcPr>
          <w:p>
            <w:pPr>
              <w:numPr>
                <w:ilvl w:val="0"/>
                <w:numId w:val="0"/>
              </w:numPr>
              <w:rPr>
                <w:rFonts w:hint="eastAsia"/>
                <w:b/>
                <w:bCs/>
                <w:sz w:val="21"/>
                <w:szCs w:val="21"/>
                <w:vertAlign w:val="baseline"/>
                <w:lang w:val="en-US" w:eastAsia="zh-CN"/>
              </w:rPr>
            </w:pPr>
          </w:p>
        </w:tc>
        <w:tc>
          <w:tcPr>
            <w:tcW w:w="3204" w:type="dxa"/>
            <w:gridSpan w:val="3"/>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延伸率保持率/％</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 ≥70 </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continue"/>
          </w:tcPr>
          <w:p>
            <w:pPr>
              <w:numPr>
                <w:ilvl w:val="0"/>
                <w:numId w:val="0"/>
              </w:numPr>
              <w:rPr>
                <w:rFonts w:hint="eastAsia"/>
                <w:b/>
                <w:bCs/>
                <w:sz w:val="21"/>
                <w:szCs w:val="21"/>
                <w:vertAlign w:val="baseline"/>
                <w:lang w:val="en-US" w:eastAsia="zh-CN"/>
              </w:rPr>
            </w:pPr>
          </w:p>
        </w:tc>
        <w:tc>
          <w:tcPr>
            <w:tcW w:w="3204" w:type="dxa"/>
            <w:gridSpan w:val="3"/>
          </w:tcPr>
          <w:p>
            <w:pPr>
              <w:numPr>
                <w:ilvl w:val="0"/>
                <w:numId w:val="0"/>
              </w:numPr>
              <w:rPr>
                <w:rFonts w:hint="eastAsia"/>
                <w:b/>
                <w:bCs/>
                <w:sz w:val="21"/>
                <w:szCs w:val="21"/>
                <w:vertAlign w:val="baseline"/>
                <w:lang w:val="en-US" w:eastAsia="zh-CN"/>
              </w:rPr>
            </w:pPr>
            <w:r>
              <w:rPr>
                <w:rFonts w:hint="eastAsia"/>
              </w:rPr>
              <w:t xml:space="preserve"> 低温弯折性/℃ </w:t>
            </w:r>
          </w:p>
        </w:tc>
        <w:tc>
          <w:tcPr>
            <w:tcW w:w="2520" w:type="dxa"/>
          </w:tcPr>
          <w:p>
            <w:pPr>
              <w:numPr>
                <w:ilvl w:val="0"/>
                <w:numId w:val="0"/>
              </w:numPr>
              <w:rPr>
                <w:rFonts w:hint="eastAsia"/>
                <w:b/>
                <w:bCs/>
                <w:sz w:val="21"/>
                <w:szCs w:val="21"/>
                <w:vertAlign w:val="baseline"/>
                <w:lang w:val="en-US" w:eastAsia="zh-CN"/>
              </w:rPr>
            </w:pPr>
            <w:r>
              <w:rPr>
                <w:rFonts w:hint="eastAsia"/>
              </w:rPr>
              <w:t>-35</w:t>
            </w:r>
          </w:p>
        </w:tc>
        <w:tc>
          <w:tcPr>
            <w:tcW w:w="2476" w:type="dxa"/>
          </w:tcPr>
          <w:p>
            <w:pPr>
              <w:numPr>
                <w:ilvl w:val="0"/>
                <w:numId w:val="0"/>
              </w:numPr>
              <w:rPr>
                <w:rFonts w:hint="eastAsia"/>
                <w:b/>
                <w:bCs/>
                <w:sz w:val="21"/>
                <w:szCs w:val="21"/>
                <w:vertAlign w:val="baseline"/>
                <w:lang w:val="en-US" w:eastAsia="zh-CN"/>
              </w:rPr>
            </w:pPr>
            <w:r>
              <w:rPr>
                <w:rFonts w:hint="eastAsia"/>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restart"/>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耐碱性（饱和 Ca(OH)2）</w:t>
            </w:r>
          </w:p>
        </w:tc>
        <w:tc>
          <w:tcPr>
            <w:tcW w:w="3204" w:type="dxa"/>
            <w:gridSpan w:val="3"/>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拉力（强度）保持率/％  </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continue"/>
          </w:tcPr>
          <w:p>
            <w:pPr>
              <w:numPr>
                <w:ilvl w:val="0"/>
                <w:numId w:val="0"/>
              </w:numPr>
              <w:rPr>
                <w:rFonts w:hint="eastAsia"/>
                <w:b/>
                <w:bCs/>
                <w:sz w:val="21"/>
                <w:szCs w:val="21"/>
                <w:vertAlign w:val="baseline"/>
                <w:lang w:val="en-US" w:eastAsia="zh-CN"/>
              </w:rPr>
            </w:pPr>
          </w:p>
        </w:tc>
        <w:tc>
          <w:tcPr>
            <w:tcW w:w="3204" w:type="dxa"/>
            <w:gridSpan w:val="3"/>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延伸率保持率/％  </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人工气候加速</w:t>
            </w:r>
          </w:p>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老化（2500h）</w:t>
            </w:r>
          </w:p>
        </w:tc>
        <w:tc>
          <w:tcPr>
            <w:tcW w:w="3204" w:type="dxa"/>
            <w:gridSpan w:val="3"/>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拉力（强度）保持率/％  </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continue"/>
          </w:tcPr>
          <w:p>
            <w:pPr>
              <w:numPr>
                <w:ilvl w:val="0"/>
                <w:numId w:val="0"/>
              </w:numPr>
              <w:rPr>
                <w:rFonts w:hint="eastAsia"/>
                <w:b/>
                <w:bCs/>
                <w:sz w:val="21"/>
                <w:szCs w:val="21"/>
                <w:vertAlign w:val="baseline"/>
                <w:lang w:val="en-US" w:eastAsia="zh-CN"/>
              </w:rPr>
            </w:pPr>
          </w:p>
        </w:tc>
        <w:tc>
          <w:tcPr>
            <w:tcW w:w="3204" w:type="dxa"/>
            <w:gridSpan w:val="3"/>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延伸率保持率/％ </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≥70</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4" w:type="dxa"/>
            <w:vMerge w:val="continue"/>
          </w:tcPr>
          <w:p>
            <w:pPr>
              <w:numPr>
                <w:ilvl w:val="0"/>
                <w:numId w:val="0"/>
              </w:numPr>
              <w:rPr>
                <w:rFonts w:hint="eastAsia"/>
                <w:b/>
                <w:bCs/>
                <w:sz w:val="21"/>
                <w:szCs w:val="21"/>
                <w:vertAlign w:val="baseline"/>
                <w:lang w:val="en-US" w:eastAsia="zh-CN"/>
              </w:rPr>
            </w:pPr>
          </w:p>
        </w:tc>
        <w:tc>
          <w:tcPr>
            <w:tcW w:w="3204" w:type="dxa"/>
            <w:gridSpan w:val="3"/>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低温弯折性/℃</w:t>
            </w:r>
          </w:p>
        </w:tc>
        <w:tc>
          <w:tcPr>
            <w:tcW w:w="2520"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 -35 </w:t>
            </w:r>
          </w:p>
        </w:tc>
        <w:tc>
          <w:tcPr>
            <w:tcW w:w="2476"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-35</w:t>
            </w:r>
          </w:p>
        </w:tc>
      </w:tr>
    </w:tbl>
    <w:p>
      <w:pPr>
        <w:numPr>
          <w:ilvl w:val="0"/>
          <w:numId w:val="0"/>
        </w:numPr>
        <w:ind w:firstLine="1897" w:firstLineChars="900"/>
        <w:rPr>
          <w:rFonts w:hint="eastAsia"/>
          <w:b/>
          <w:bCs/>
          <w:sz w:val="21"/>
          <w:szCs w:val="21"/>
          <w:lang w:val="en-US" w:eastAsia="zh-CN"/>
        </w:rPr>
      </w:pPr>
    </w:p>
    <w:p>
      <w:pPr>
        <w:numPr>
          <w:ilvl w:val="0"/>
          <w:numId w:val="0"/>
        </w:numPr>
        <w:rPr>
          <w:rFonts w:hint="eastAsia"/>
          <w:b/>
          <w:bCs/>
          <w:sz w:val="24"/>
          <w:szCs w:val="24"/>
          <w:lang w:val="en-US" w:eastAsia="zh-CN"/>
        </w:rPr>
      </w:pPr>
      <w:r>
        <w:rPr>
          <w:rFonts w:hint="eastAsia"/>
          <w:b/>
          <w:bCs/>
          <w:sz w:val="24"/>
          <w:szCs w:val="24"/>
          <w:lang w:val="en-US" w:eastAsia="zh-CN"/>
        </w:rPr>
        <w:t>8.2 地下工程预铺反粘防水技术指标</w:t>
      </w:r>
    </w:p>
    <w:p>
      <w:pPr>
        <w:numPr>
          <w:ilvl w:val="0"/>
          <w:numId w:val="0"/>
        </w:numPr>
        <w:ind w:firstLine="2741" w:firstLineChars="1300"/>
        <w:rPr>
          <w:rFonts w:hint="eastAsia"/>
          <w:b/>
          <w:bCs/>
          <w:sz w:val="21"/>
          <w:szCs w:val="21"/>
          <w:lang w:val="en-US" w:eastAsia="zh-CN"/>
        </w:rPr>
      </w:pPr>
      <w:r>
        <w:rPr>
          <w:rFonts w:hint="eastAsia"/>
          <w:b/>
          <w:bCs/>
          <w:sz w:val="21"/>
          <w:szCs w:val="21"/>
          <w:lang w:val="en-US" w:eastAsia="zh-CN"/>
        </w:rPr>
        <w:t>8.5 主要物理力学性能指标</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462"/>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项 目</w:t>
            </w:r>
          </w:p>
        </w:tc>
        <w:tc>
          <w:tcPr>
            <w:tcW w:w="4882" w:type="dxa"/>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拉力/(N/50mm)</w:t>
            </w:r>
          </w:p>
        </w:tc>
        <w:tc>
          <w:tcPr>
            <w:tcW w:w="4882" w:type="dxa"/>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膜断裂伸长率/%）</w:t>
            </w:r>
          </w:p>
        </w:tc>
        <w:tc>
          <w:tcPr>
            <w:tcW w:w="4882" w:type="dxa"/>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 xml:space="preserve">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低温弯折性</w:t>
            </w:r>
          </w:p>
        </w:tc>
        <w:tc>
          <w:tcPr>
            <w:tcW w:w="4882" w:type="dxa"/>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－25℃，无裂纹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不透水性</w:t>
            </w:r>
          </w:p>
        </w:tc>
        <w:tc>
          <w:tcPr>
            <w:tcW w:w="4882" w:type="dxa"/>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0.4MPa，120min，不透水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冲击性能</w:t>
            </w:r>
          </w:p>
        </w:tc>
        <w:tc>
          <w:tcPr>
            <w:tcW w:w="4882" w:type="dxa"/>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直径（10±0.1）mm，无渗漏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钉杆撕裂强度/N</w:t>
            </w:r>
          </w:p>
        </w:tc>
        <w:tc>
          <w:tcPr>
            <w:tcW w:w="4882" w:type="dxa"/>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val="0"/>
                <w:bCs w:val="0"/>
                <w:sz w:val="24"/>
                <w:szCs w:val="24"/>
                <w:lang w:val="en-US" w:eastAsia="zh-CN"/>
              </w:rPr>
            </w:pPr>
            <w:r>
              <w:rPr>
                <w:rFonts w:hint="eastAsia"/>
                <w:b w:val="0"/>
                <w:bCs w:val="0"/>
                <w:sz w:val="24"/>
                <w:szCs w:val="24"/>
                <w:lang w:val="en-US" w:eastAsia="zh-CN"/>
              </w:rPr>
              <w:t>防窜水性</w:t>
            </w:r>
          </w:p>
        </w:tc>
        <w:tc>
          <w:tcPr>
            <w:tcW w:w="4882" w:type="dxa"/>
          </w:tcPr>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0.6MPa，不窜水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420" w:type="dxa"/>
            <w:vMerge w:val="restart"/>
          </w:tcPr>
          <w:p>
            <w:pPr>
              <w:numPr>
                <w:ilvl w:val="0"/>
                <w:numId w:val="0"/>
              </w:numPr>
              <w:rPr>
                <w:rFonts w:hint="eastAsia"/>
                <w:b w:val="0"/>
                <w:bCs w:val="0"/>
                <w:sz w:val="24"/>
                <w:szCs w:val="24"/>
                <w:lang w:val="en-US" w:eastAsia="zh-CN"/>
              </w:rPr>
            </w:pPr>
          </w:p>
          <w:p>
            <w:pPr>
              <w:numPr>
                <w:ilvl w:val="0"/>
                <w:numId w:val="0"/>
              </w:numPr>
              <w:rPr>
                <w:rFonts w:hint="eastAsia"/>
                <w:b w:val="0"/>
                <w:bCs w:val="0"/>
                <w:sz w:val="24"/>
                <w:szCs w:val="24"/>
                <w:lang w:val="en-US" w:eastAsia="zh-CN"/>
              </w:rPr>
            </w:pPr>
          </w:p>
          <w:p>
            <w:pPr>
              <w:numPr>
                <w:ilvl w:val="0"/>
                <w:numId w:val="0"/>
              </w:numPr>
              <w:rPr>
                <w:rFonts w:hint="eastAsia"/>
                <w:b w:val="0"/>
                <w:bCs w:val="0"/>
                <w:sz w:val="24"/>
                <w:szCs w:val="24"/>
                <w:lang w:val="en-US" w:eastAsia="zh-CN"/>
              </w:rPr>
            </w:pPr>
            <w:r>
              <w:rPr>
                <w:rFonts w:hint="eastAsia"/>
                <w:b w:val="0"/>
                <w:bCs w:val="0"/>
                <w:sz w:val="24"/>
                <w:szCs w:val="24"/>
                <w:lang w:val="en-US" w:eastAsia="zh-CN"/>
              </w:rPr>
              <w:t>与后浇混凝土剥离强度/（N/mm）</w:t>
            </w:r>
          </w:p>
          <w:p>
            <w:pPr>
              <w:numPr>
                <w:ilvl w:val="0"/>
                <w:numId w:val="0"/>
              </w:numPr>
              <w:rPr>
                <w:rFonts w:hint="eastAsia"/>
                <w:b w:val="0"/>
                <w:bCs w:val="0"/>
                <w:sz w:val="24"/>
                <w:szCs w:val="24"/>
                <w:lang w:val="en-US" w:eastAsia="zh-CN"/>
              </w:rPr>
            </w:pPr>
          </w:p>
        </w:tc>
        <w:tc>
          <w:tcPr>
            <w:tcW w:w="34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textAlignment w:val="auto"/>
              <w:outlineLvl w:val="9"/>
              <w:rPr>
                <w:rFonts w:hint="eastAsia"/>
                <w:b w:val="0"/>
                <w:bCs w:val="0"/>
                <w:sz w:val="24"/>
                <w:szCs w:val="24"/>
                <w:lang w:val="en-US" w:eastAsia="zh-CN"/>
              </w:rPr>
            </w:pPr>
            <w:r>
              <w:rPr>
                <w:rFonts w:hint="eastAsia"/>
                <w:b w:val="0"/>
                <w:bCs w:val="0"/>
                <w:sz w:val="21"/>
                <w:szCs w:val="21"/>
                <w:lang w:val="en-US" w:eastAsia="zh-CN"/>
              </w:rPr>
              <w:t>无处理</w:t>
            </w:r>
          </w:p>
        </w:tc>
        <w:tc>
          <w:tcPr>
            <w:tcW w:w="488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水泥粉污染表面</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泥沙污染表面</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420" w:type="dxa"/>
            <w:vMerge w:val="continue"/>
          </w:tcPr>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紫外线老化</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1"/>
                <w:szCs w:val="21"/>
                <w:lang w:val="en-US" w:eastAsia="zh-CN"/>
              </w:rPr>
            </w:pPr>
            <w:r>
              <w:rPr>
                <w:rFonts w:hint="eastAsia"/>
                <w:b w:val="0"/>
                <w:bCs w:val="0"/>
                <w:sz w:val="21"/>
                <w:szCs w:val="21"/>
                <w:lang w:val="en-US" w:eastAsia="zh-CN"/>
              </w:rPr>
              <w:t>热老化</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gridSpan w:val="2"/>
          </w:tcPr>
          <w:p>
            <w:pPr>
              <w:numPr>
                <w:ilvl w:val="0"/>
                <w:numId w:val="0"/>
              </w:numPr>
              <w:rPr>
                <w:rFonts w:hint="eastAsia"/>
                <w:b w:val="0"/>
                <w:bCs w:val="0"/>
                <w:sz w:val="24"/>
                <w:szCs w:val="24"/>
                <w:lang w:val="en-US" w:eastAsia="zh-CN"/>
              </w:rPr>
            </w:pPr>
            <w:r>
              <w:rPr>
                <w:rFonts w:hint="eastAsia"/>
                <w:b w:val="0"/>
                <w:bCs w:val="0"/>
                <w:sz w:val="24"/>
                <w:szCs w:val="24"/>
                <w:lang w:val="en-US" w:eastAsia="zh-CN"/>
              </w:rPr>
              <w:t>与后浇混凝土浸水后剥离强度，（N/mm）</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numPr>
                <w:ilvl w:val="0"/>
                <w:numId w:val="0"/>
              </w:numPr>
              <w:rPr>
                <w:rFonts w:hint="eastAsia"/>
                <w:b w:val="0"/>
                <w:bCs w:val="0"/>
                <w:sz w:val="24"/>
                <w:szCs w:val="24"/>
                <w:lang w:val="en-US" w:eastAsia="zh-CN"/>
              </w:rPr>
            </w:pPr>
            <w:r>
              <w:rPr>
                <w:rFonts w:hint="eastAsia"/>
                <w:b w:val="0"/>
                <w:bCs w:val="0"/>
                <w:sz w:val="24"/>
                <w:szCs w:val="24"/>
                <w:lang w:val="en-US" w:eastAsia="zh-CN"/>
              </w:rPr>
              <w:t>热老化</w:t>
            </w:r>
          </w:p>
          <w:p>
            <w:pPr>
              <w:numPr>
                <w:ilvl w:val="0"/>
                <w:numId w:val="0"/>
              </w:numPr>
              <w:rPr>
                <w:rFonts w:hint="eastAsia"/>
                <w:b w:val="0"/>
                <w:bCs w:val="0"/>
                <w:sz w:val="24"/>
                <w:szCs w:val="24"/>
                <w:lang w:val="en-US" w:eastAsia="zh-CN"/>
              </w:rPr>
            </w:pPr>
            <w:r>
              <w:rPr>
                <w:rFonts w:hint="eastAsia"/>
                <w:b w:val="0"/>
                <w:bCs w:val="0"/>
                <w:sz w:val="24"/>
                <w:szCs w:val="24"/>
                <w:lang w:val="en-US" w:eastAsia="zh-CN"/>
              </w:rPr>
              <w:t>（70℃，168h）</w:t>
            </w:r>
          </w:p>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拉力保持率/%</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伸长率保持率/%</w:t>
            </w:r>
          </w:p>
        </w:tc>
        <w:tc>
          <w:tcPr>
            <w:tcW w:w="488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 xml:space="preserve">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420" w:type="dxa"/>
            <w:vMerge w:val="continue"/>
          </w:tcPr>
          <w:p>
            <w:pPr>
              <w:numPr>
                <w:ilvl w:val="0"/>
                <w:numId w:val="0"/>
              </w:numPr>
              <w:rPr>
                <w:rFonts w:hint="eastAsia"/>
                <w:b w:val="0"/>
                <w:bCs w:val="0"/>
                <w:sz w:val="24"/>
                <w:szCs w:val="24"/>
                <w:lang w:val="en-US" w:eastAsia="zh-CN"/>
              </w:rPr>
            </w:pPr>
          </w:p>
        </w:tc>
        <w:tc>
          <w:tcPr>
            <w:tcW w:w="3462" w:type="dxa"/>
          </w:tcPr>
          <w:p>
            <w:pPr>
              <w:numPr>
                <w:ilvl w:val="0"/>
                <w:numId w:val="0"/>
              </w:numPr>
              <w:rPr>
                <w:rFonts w:hint="eastAsia"/>
                <w:b w:val="0"/>
                <w:bCs w:val="0"/>
                <w:sz w:val="24"/>
                <w:szCs w:val="24"/>
                <w:lang w:val="en-US" w:eastAsia="zh-CN"/>
              </w:rPr>
            </w:pPr>
            <w:r>
              <w:rPr>
                <w:rFonts w:hint="eastAsia"/>
                <w:b w:val="0"/>
                <w:bCs w:val="0"/>
                <w:sz w:val="24"/>
                <w:szCs w:val="24"/>
                <w:lang w:val="en-US" w:eastAsia="zh-CN"/>
              </w:rPr>
              <w:t>低温弯折性</w:t>
            </w:r>
          </w:p>
        </w:tc>
        <w:tc>
          <w:tcPr>
            <w:tcW w:w="4882" w:type="dxa"/>
          </w:tcPr>
          <w:p>
            <w:pPr>
              <w:numPr>
                <w:ilvl w:val="0"/>
                <w:numId w:val="0"/>
              </w:numPr>
              <w:rPr>
                <w:rFonts w:hint="eastAsia"/>
                <w:b w:val="0"/>
                <w:bCs w:val="0"/>
                <w:sz w:val="24"/>
                <w:szCs w:val="24"/>
                <w:lang w:val="en-US" w:eastAsia="zh-CN"/>
              </w:rPr>
            </w:pPr>
            <w:r>
              <w:rPr>
                <w:rFonts w:hint="eastAsia"/>
                <w:b w:val="0"/>
                <w:bCs w:val="0"/>
                <w:i/>
                <w:iCs/>
                <w:sz w:val="24"/>
                <w:szCs w:val="24"/>
                <w:lang w:val="en-US" w:eastAsia="zh-CN"/>
              </w:rPr>
              <w:t xml:space="preserve"> </w:t>
            </w:r>
            <w:r>
              <w:rPr>
                <w:rFonts w:hint="eastAsia"/>
                <w:b w:val="0"/>
                <w:bCs w:val="0"/>
                <w:sz w:val="24"/>
                <w:szCs w:val="24"/>
                <w:lang w:val="en-US" w:eastAsia="zh-CN"/>
              </w:rPr>
              <w:t>-23℃，无裂纹</w:t>
            </w:r>
          </w:p>
        </w:tc>
      </w:tr>
    </w:tbl>
    <w:p>
      <w:pPr>
        <w:numPr>
          <w:ilvl w:val="0"/>
          <w:numId w:val="0"/>
        </w:numPr>
        <w:ind w:firstLine="2741" w:firstLineChars="1300"/>
        <w:rPr>
          <w:rFonts w:hint="eastAsia"/>
          <w:b/>
          <w:bCs/>
          <w:sz w:val="21"/>
          <w:szCs w:val="21"/>
          <w:lang w:val="en-US" w:eastAsia="zh-CN"/>
        </w:rPr>
      </w:pPr>
    </w:p>
    <w:p>
      <w:pPr>
        <w:numPr>
          <w:ilvl w:val="0"/>
          <w:numId w:val="0"/>
        </w:numPr>
        <w:rPr>
          <w:rFonts w:hint="eastAsia"/>
          <w:b/>
          <w:bCs/>
          <w:sz w:val="24"/>
          <w:szCs w:val="24"/>
          <w:lang w:val="en-US" w:eastAsia="zh-CN"/>
        </w:rPr>
      </w:pPr>
      <w:r>
        <w:rPr>
          <w:rFonts w:hint="eastAsia"/>
          <w:b/>
          <w:bCs/>
          <w:sz w:val="24"/>
          <w:szCs w:val="24"/>
          <w:lang w:val="en-US" w:eastAsia="zh-CN"/>
        </w:rPr>
        <w:t xml:space="preserve"> 8.3 预备注浆系统施工技术指标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（1）硬质塑料、橡胶管或螺纹管骨架注浆管的主要物理力学性能应符合表 8.6 的要求。</w:t>
      </w:r>
    </w:p>
    <w:p>
      <w:pPr>
        <w:numPr>
          <w:ilvl w:val="0"/>
          <w:numId w:val="0"/>
        </w:numPr>
        <w:rPr>
          <w:rFonts w:hint="eastAsia"/>
          <w:b/>
          <w:bCs/>
          <w:sz w:val="21"/>
          <w:szCs w:val="21"/>
          <w:vertAlign w:val="baseline"/>
          <w:lang w:val="en-US" w:eastAsia="zh-CN"/>
        </w:rPr>
      </w:pPr>
      <w:r>
        <w:rPr>
          <w:rFonts w:hint="eastAsia"/>
          <w:b w:val="0"/>
          <w:bCs w:val="0"/>
          <w:sz w:val="24"/>
          <w:szCs w:val="24"/>
          <w:lang w:val="en-US" w:eastAsia="zh-CN"/>
        </w:rPr>
        <w:t xml:space="preserve">                    </w:t>
      </w:r>
      <w:r>
        <w:rPr>
          <w:rFonts w:hint="eastAsia"/>
          <w:b/>
          <w:bCs/>
          <w:sz w:val="21"/>
          <w:szCs w:val="21"/>
          <w:lang w:val="en-US" w:eastAsia="zh-CN"/>
        </w:rPr>
        <w:t>表 8.6 硬质塑料或硬质橡胶骨架注浆管的物理性能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713"/>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序号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 项目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1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注浆管外径偏差/mm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2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 注浆管内径偏差/mm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3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 出浆孔间距/mm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4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出浆孔直径/mm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5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抗压变形量/mm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b w:val="0"/>
                <w:bCs w:val="0"/>
                <w:sz w:val="24"/>
                <w:szCs w:val="24"/>
                <w:vertAlign w:val="baseline"/>
                <w:lang w:val="en-US" w:eastAsia="zh-CN"/>
              </w:rPr>
            </w:pPr>
            <w:r>
              <w:rPr>
                <w:rFonts w:hint="eastAsia"/>
              </w:rPr>
              <w:t xml:space="preserve">6 </w:t>
            </w:r>
          </w:p>
        </w:tc>
        <w:tc>
          <w:tcPr>
            <w:tcW w:w="5713" w:type="dxa"/>
          </w:tcPr>
          <w:p>
            <w:pPr>
              <w:numPr>
                <w:ilvl w:val="0"/>
                <w:numId w:val="0"/>
              </w:numPr>
              <w:rPr>
                <w:rFonts w:hint="eastAsia"/>
                <w:b w:val="0"/>
                <w:bCs w:val="0"/>
                <w:sz w:val="24"/>
                <w:szCs w:val="24"/>
                <w:vertAlign w:val="baseline"/>
                <w:lang w:val="en-US" w:eastAsia="zh-CN"/>
              </w:rPr>
            </w:pPr>
            <w:r>
              <w:rPr>
                <w:rFonts w:hint="eastAsia"/>
              </w:rPr>
              <w:t xml:space="preserve">覆盖材料扯断永久变形/% </w:t>
            </w:r>
          </w:p>
        </w:tc>
        <w:tc>
          <w:tcPr>
            <w:tcW w:w="3255" w:type="dxa"/>
          </w:tcPr>
          <w:p>
            <w:pPr>
              <w:numPr>
                <w:ilvl w:val="0"/>
                <w:numId w:val="0"/>
              </w:numPr>
              <w:rPr>
                <w:rFonts w:hint="eastAsia"/>
                <w:b w:val="0"/>
                <w:bCs w:val="0"/>
                <w:sz w:val="24"/>
                <w:szCs w:val="24"/>
                <w:vertAlign w:val="baseline"/>
                <w:lang w:val="en-US" w:eastAsia="zh-CN"/>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numPr>
                <w:ilvl w:val="0"/>
                <w:numId w:val="0"/>
              </w:numPr>
              <w:rPr>
                <w:rFonts w:hint="eastAsia" w:eastAsiaTheme="minorEastAsia"/>
                <w:lang w:val="en-US" w:eastAsia="zh-CN"/>
              </w:rPr>
            </w:pPr>
            <w:r>
              <w:rPr>
                <w:rFonts w:hint="eastAsia"/>
                <w:lang w:val="en-US" w:eastAsia="zh-CN"/>
              </w:rPr>
              <w:t>7</w:t>
            </w:r>
          </w:p>
        </w:tc>
        <w:tc>
          <w:tcPr>
            <w:tcW w:w="5713" w:type="dxa"/>
          </w:tcPr>
          <w:p>
            <w:pPr>
              <w:numPr>
                <w:ilvl w:val="0"/>
                <w:numId w:val="0"/>
              </w:numPr>
              <w:rPr>
                <w:rFonts w:hint="eastAsia"/>
              </w:rPr>
            </w:pPr>
            <w:r>
              <w:rPr>
                <w:rFonts w:hint="eastAsia"/>
              </w:rPr>
              <w:t xml:space="preserve">骨架低温弯曲性能 </w:t>
            </w:r>
          </w:p>
        </w:tc>
        <w:tc>
          <w:tcPr>
            <w:tcW w:w="3255" w:type="dxa"/>
          </w:tcPr>
          <w:p>
            <w:pPr>
              <w:numPr>
                <w:ilvl w:val="0"/>
                <w:numId w:val="0"/>
              </w:numPr>
              <w:rPr>
                <w:rFonts w:hint="eastAsia"/>
              </w:rPr>
            </w:pPr>
            <w:r>
              <w:rPr>
                <w:rFonts w:hint="eastAsia"/>
              </w:rPr>
              <w:t>-10℃，无脆裂</w:t>
            </w:r>
          </w:p>
        </w:tc>
      </w:tr>
    </w:tbl>
    <w:p>
      <w:pPr>
        <w:numPr>
          <w:ilvl w:val="0"/>
          <w:numId w:val="0"/>
        </w:numPr>
        <w:rPr>
          <w:rFonts w:hint="eastAsia"/>
          <w:b w:val="0"/>
          <w:bCs w:val="0"/>
          <w:sz w:val="24"/>
          <w:szCs w:val="24"/>
          <w:lang w:val="en-US" w:eastAsia="zh-CN"/>
        </w:rPr>
      </w:pPr>
      <w:r>
        <w:rPr>
          <w:rFonts w:hint="eastAsia"/>
          <w:b w:val="0"/>
          <w:bCs w:val="0"/>
          <w:sz w:val="24"/>
          <w:szCs w:val="24"/>
          <w:lang w:val="en-US" w:eastAsia="zh-CN"/>
        </w:rPr>
        <w:t>（2）不锈钢弹簧骨架注浆管的主要物理性能应符合表 8.7 的要求。</w:t>
      </w:r>
    </w:p>
    <w:p>
      <w:pPr>
        <w:numPr>
          <w:ilvl w:val="0"/>
          <w:numId w:val="0"/>
        </w:numPr>
        <w:ind w:firstLine="2319" w:firstLineChars="1100"/>
        <w:rPr>
          <w:rFonts w:hint="eastAsia"/>
          <w:b w:val="0"/>
          <w:bCs w:val="0"/>
          <w:sz w:val="24"/>
          <w:szCs w:val="24"/>
          <w:lang w:val="en-US" w:eastAsia="zh-CN"/>
        </w:rPr>
      </w:pPr>
      <w:r>
        <w:rPr>
          <w:rFonts w:hint="eastAsia"/>
          <w:b/>
          <w:bCs/>
          <w:sz w:val="21"/>
          <w:szCs w:val="21"/>
          <w:lang w:val="en-US" w:eastAsia="zh-CN"/>
        </w:rPr>
        <w:t>8.7 不锈钢弹簧骨架注浆管的物理性能</w:t>
      </w:r>
      <w:r>
        <w:rPr>
          <w:rFonts w:hint="eastAsia"/>
          <w:b w:val="0"/>
          <w:bCs w:val="0"/>
          <w:sz w:val="24"/>
          <w:szCs w:val="24"/>
          <w:lang w:val="en-US" w:eastAsia="zh-CN"/>
        </w:rPr>
        <w:t xml:space="preserve"> </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572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序号 </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项目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 注浆管外径偏差/mm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2 </w:t>
            </w:r>
          </w:p>
        </w:tc>
        <w:tc>
          <w:tcPr>
            <w:tcW w:w="5725" w:type="dxa"/>
          </w:tcPr>
          <w:p>
            <w:pPr>
              <w:numPr>
                <w:ilvl w:val="0"/>
                <w:numId w:val="0"/>
              </w:numPr>
              <w:rPr>
                <w:rFonts w:hint="eastAsia"/>
                <w:b w:val="0"/>
                <w:bCs w:val="0"/>
                <w:sz w:val="24"/>
                <w:szCs w:val="24"/>
                <w:vertAlign w:val="baseline"/>
                <w:lang w:val="en-US" w:eastAsia="zh-CN"/>
              </w:rPr>
            </w:pPr>
            <w:r>
              <w:rPr>
                <w:rFonts w:hint="eastAsia"/>
              </w:rPr>
              <w:t>注浆管内径偏差/mm</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3 </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 不锈钢弹簧钢丝直径/mm</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4 </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滤布等效孔径 O95/mm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5 </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 滤布渗透系数 K20/(mm/s)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6 </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 抗压强度/(N/mm) </w:t>
            </w:r>
          </w:p>
        </w:tc>
        <w:tc>
          <w:tcPr>
            <w:tcW w:w="3255" w:type="dxa"/>
          </w:tcPr>
          <w:p>
            <w:pPr>
              <w:numPr>
                <w:ilvl w:val="0"/>
                <w:numId w:val="0"/>
              </w:numPr>
              <w:rPr>
                <w:rFonts w:hint="eastAsia"/>
                <w:b w:val="0"/>
                <w:bCs w:val="0"/>
                <w:sz w:val="24"/>
                <w:szCs w:val="24"/>
                <w:vertAlign w:val="baseline"/>
                <w:lang w:val="en-US" w:eastAsia="zh-CN"/>
              </w:rPr>
            </w:pPr>
            <w:r>
              <w:rPr>
                <w:rFonts w:hint="eastAsi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tcPr>
          <w:p>
            <w:pPr>
              <w:numPr>
                <w:ilvl w:val="0"/>
                <w:numId w:val="0"/>
              </w:numPr>
              <w:rPr>
                <w:rFonts w:hint="eastAsia"/>
                <w:b w:val="0"/>
                <w:bCs w:val="0"/>
                <w:sz w:val="24"/>
                <w:szCs w:val="24"/>
                <w:vertAlign w:val="baseline"/>
                <w:lang w:val="en-US" w:eastAsia="zh-CN"/>
              </w:rPr>
            </w:pPr>
            <w:r>
              <w:rPr>
                <w:rFonts w:hint="eastAsia"/>
              </w:rPr>
              <w:t xml:space="preserve">7 </w:t>
            </w:r>
          </w:p>
        </w:tc>
        <w:tc>
          <w:tcPr>
            <w:tcW w:w="5725" w:type="dxa"/>
          </w:tcPr>
          <w:p>
            <w:pPr>
              <w:numPr>
                <w:ilvl w:val="0"/>
                <w:numId w:val="0"/>
              </w:numPr>
              <w:rPr>
                <w:rFonts w:hint="eastAsia"/>
                <w:b w:val="0"/>
                <w:bCs w:val="0"/>
                <w:sz w:val="24"/>
                <w:szCs w:val="24"/>
                <w:vertAlign w:val="baseline"/>
                <w:lang w:val="en-US" w:eastAsia="zh-CN"/>
              </w:rPr>
            </w:pPr>
            <w:r>
              <w:rPr>
                <w:rFonts w:hint="eastAsia"/>
              </w:rPr>
              <w:t xml:space="preserve"> 不锈钢弹簧钢丝间距，圈/10cm </w:t>
            </w:r>
          </w:p>
        </w:tc>
        <w:tc>
          <w:tcPr>
            <w:tcW w:w="3255" w:type="dxa"/>
          </w:tcPr>
          <w:p>
            <w:pPr>
              <w:numPr>
                <w:ilvl w:val="0"/>
                <w:numId w:val="0"/>
              </w:numPr>
              <w:rPr>
                <w:rFonts w:hint="eastAsia"/>
                <w:b w:val="0"/>
                <w:bCs w:val="0"/>
                <w:sz w:val="24"/>
                <w:szCs w:val="24"/>
                <w:vertAlign w:val="baseline"/>
                <w:lang w:val="en-US" w:eastAsia="zh-CN"/>
              </w:rPr>
            </w:pPr>
            <w:r>
              <w:rPr>
                <w:rFonts w:hint="eastAsia"/>
              </w:rPr>
              <w:t xml:space="preserve"> ≥12</w:t>
            </w:r>
          </w:p>
        </w:tc>
      </w:tr>
    </w:tbl>
    <w:p>
      <w:pPr>
        <w:numPr>
          <w:ilvl w:val="0"/>
          <w:numId w:val="0"/>
        </w:numPr>
        <w:rPr>
          <w:rFonts w:hint="eastAsia"/>
          <w:b/>
          <w:bCs/>
          <w:sz w:val="24"/>
          <w:szCs w:val="24"/>
          <w:lang w:val="en-US" w:eastAsia="zh-CN"/>
        </w:rPr>
      </w:pPr>
      <w:r>
        <w:rPr>
          <w:rFonts w:hint="eastAsia"/>
          <w:b/>
          <w:bCs/>
          <w:sz w:val="24"/>
          <w:szCs w:val="24"/>
          <w:lang w:val="en-US" w:eastAsia="zh-CN"/>
        </w:rPr>
        <w:t xml:space="preserve">8.4 丙烯酸盐灌浆液防渗施工技术指标  </w:t>
      </w:r>
    </w:p>
    <w:p>
      <w:pPr>
        <w:numPr>
          <w:ilvl w:val="0"/>
          <w:numId w:val="0"/>
        </w:numPr>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丙烯酸盐灌浆液及其凝胶主要技术指标应满足表 8.8 和表 8.9 要求。</w:t>
      </w:r>
    </w:p>
    <w:p>
      <w:pPr>
        <w:numPr>
          <w:ilvl w:val="0"/>
          <w:numId w:val="0"/>
        </w:numPr>
        <w:ind w:firstLine="2530" w:firstLineChars="1200"/>
        <w:rPr>
          <w:rFonts w:hint="eastAsia"/>
          <w:b/>
          <w:bCs/>
          <w:sz w:val="21"/>
          <w:szCs w:val="21"/>
          <w:lang w:val="en-US" w:eastAsia="zh-CN"/>
        </w:rPr>
      </w:pPr>
      <w:r>
        <w:rPr>
          <w:rFonts w:hint="eastAsia"/>
          <w:b/>
          <w:bCs/>
          <w:sz w:val="21"/>
          <w:szCs w:val="21"/>
          <w:lang w:val="en-US" w:eastAsia="zh-CN"/>
        </w:rPr>
        <w:t>表 8.8 丙烯酸盐灌浆液物理性能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812"/>
        <w:gridCol w:w="2400"/>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val="0"/>
                <w:bCs w:val="0"/>
                <w:sz w:val="21"/>
                <w:szCs w:val="21"/>
                <w:vertAlign w:val="baseline"/>
                <w:lang w:val="en-US" w:eastAsia="zh-CN"/>
              </w:rPr>
            </w:pPr>
            <w:r>
              <w:rPr>
                <w:rFonts w:hint="eastAsia"/>
                <w:b w:val="0"/>
                <w:bCs w:val="0"/>
                <w:sz w:val="21"/>
                <w:szCs w:val="21"/>
                <w:lang w:val="en-US" w:eastAsia="zh-CN"/>
              </w:rPr>
              <w:t>序号</w:t>
            </w:r>
          </w:p>
        </w:tc>
        <w:tc>
          <w:tcPr>
            <w:tcW w:w="1812" w:type="dxa"/>
          </w:tcPr>
          <w:p>
            <w:pPr>
              <w:numPr>
                <w:ilvl w:val="0"/>
                <w:numId w:val="0"/>
              </w:numPr>
              <w:rPr>
                <w:rFonts w:hint="eastAsia"/>
                <w:b w:val="0"/>
                <w:bCs w:val="0"/>
                <w:sz w:val="21"/>
                <w:szCs w:val="21"/>
                <w:vertAlign w:val="baseline"/>
                <w:lang w:val="en-US" w:eastAsia="zh-CN"/>
              </w:rPr>
            </w:pPr>
            <w:r>
              <w:rPr>
                <w:rFonts w:hint="eastAsia"/>
                <w:b w:val="0"/>
                <w:bCs w:val="0"/>
                <w:sz w:val="21"/>
                <w:szCs w:val="21"/>
                <w:lang w:val="en-US" w:eastAsia="zh-CN"/>
              </w:rPr>
              <w:t>项目</w:t>
            </w:r>
          </w:p>
        </w:tc>
        <w:tc>
          <w:tcPr>
            <w:tcW w:w="2400" w:type="dxa"/>
          </w:tcPr>
          <w:p>
            <w:pPr>
              <w:numPr>
                <w:ilvl w:val="0"/>
                <w:numId w:val="0"/>
              </w:numPr>
              <w:rPr>
                <w:rFonts w:hint="eastAsia"/>
                <w:b w:val="0"/>
                <w:bCs w:val="0"/>
                <w:sz w:val="21"/>
                <w:szCs w:val="21"/>
                <w:vertAlign w:val="baseline"/>
                <w:lang w:val="en-US" w:eastAsia="zh-CN"/>
              </w:rPr>
            </w:pPr>
            <w:r>
              <w:rPr>
                <w:rFonts w:hint="eastAsia"/>
                <w:b w:val="0"/>
                <w:bCs w:val="0"/>
                <w:sz w:val="21"/>
                <w:szCs w:val="21"/>
                <w:lang w:val="en-US" w:eastAsia="zh-CN"/>
              </w:rPr>
              <w:t>技术要求</w:t>
            </w:r>
          </w:p>
        </w:tc>
        <w:tc>
          <w:tcPr>
            <w:tcW w:w="4828" w:type="dxa"/>
          </w:tcPr>
          <w:p>
            <w:pPr>
              <w:numPr>
                <w:ilvl w:val="0"/>
                <w:numId w:val="0"/>
              </w:numPr>
              <w:rPr>
                <w:rFonts w:hint="eastAsia"/>
                <w:b w:val="0"/>
                <w:bCs w:val="0"/>
                <w:sz w:val="21"/>
                <w:szCs w:val="21"/>
                <w:vertAlign w:val="baseline"/>
                <w:lang w:val="en-US" w:eastAsia="zh-CN"/>
              </w:rPr>
            </w:pPr>
            <w:r>
              <w:rPr>
                <w:rFonts w:hint="eastAsia"/>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1</w:t>
            </w:r>
          </w:p>
        </w:tc>
        <w:tc>
          <w:tcPr>
            <w:tcW w:w="1812" w:type="dxa"/>
          </w:tcPr>
          <w:p>
            <w:pPr>
              <w:numPr>
                <w:ilvl w:val="0"/>
                <w:numId w:val="0"/>
              </w:numPr>
              <w:rPr>
                <w:rFonts w:hint="eastAsia"/>
                <w:b w:val="0"/>
                <w:bCs w:val="0"/>
                <w:sz w:val="21"/>
                <w:szCs w:val="21"/>
                <w:vertAlign w:val="baseline"/>
                <w:lang w:val="en-US" w:eastAsia="zh-CN"/>
              </w:rPr>
            </w:pPr>
            <w:r>
              <w:rPr>
                <w:rFonts w:hint="eastAsia"/>
              </w:rPr>
              <w:t xml:space="preserve">外观 </w:t>
            </w:r>
          </w:p>
        </w:tc>
        <w:tc>
          <w:tcPr>
            <w:tcW w:w="2400" w:type="dxa"/>
          </w:tcPr>
          <w:p>
            <w:pPr>
              <w:numPr>
                <w:ilvl w:val="0"/>
                <w:numId w:val="0"/>
              </w:numPr>
              <w:rPr>
                <w:rFonts w:hint="eastAsia"/>
                <w:b/>
                <w:bCs/>
                <w:sz w:val="21"/>
                <w:szCs w:val="21"/>
                <w:vertAlign w:val="baseline"/>
                <w:lang w:val="en-US" w:eastAsia="zh-CN"/>
              </w:rPr>
            </w:pPr>
            <w:r>
              <w:rPr>
                <w:rFonts w:hint="eastAsia"/>
              </w:rPr>
              <w:t>不含颗粒的均质液体</w:t>
            </w:r>
          </w:p>
        </w:tc>
        <w:tc>
          <w:tcPr>
            <w:tcW w:w="4828" w:type="dxa"/>
          </w:tcPr>
          <w:p>
            <w:pPr>
              <w:numPr>
                <w:ilvl w:val="0"/>
                <w:numId w:val="0"/>
              </w:numPr>
              <w:rPr>
                <w:rFonts w:hint="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w:t>
            </w:r>
          </w:p>
        </w:tc>
        <w:tc>
          <w:tcPr>
            <w:tcW w:w="1812" w:type="dxa"/>
          </w:tcPr>
          <w:p>
            <w:pPr>
              <w:numPr>
                <w:ilvl w:val="0"/>
                <w:numId w:val="0"/>
              </w:numPr>
              <w:rPr>
                <w:rFonts w:hint="eastAsia"/>
                <w:b/>
                <w:bCs/>
                <w:sz w:val="21"/>
                <w:szCs w:val="21"/>
                <w:vertAlign w:val="baseline"/>
                <w:lang w:val="en-US" w:eastAsia="zh-CN"/>
              </w:rPr>
            </w:pPr>
            <w:r>
              <w:rPr>
                <w:rFonts w:hint="eastAsia"/>
              </w:rPr>
              <w:t>密度/（g/cm3）</w:t>
            </w:r>
          </w:p>
        </w:tc>
        <w:tc>
          <w:tcPr>
            <w:tcW w:w="2400" w:type="dxa"/>
          </w:tcPr>
          <w:p>
            <w:pPr>
              <w:numPr>
                <w:ilvl w:val="0"/>
                <w:numId w:val="0"/>
              </w:numPr>
              <w:rPr>
                <w:rFonts w:hint="eastAsia"/>
                <w:b/>
                <w:bCs/>
                <w:sz w:val="21"/>
                <w:szCs w:val="21"/>
                <w:vertAlign w:val="baseline"/>
                <w:lang w:val="en-US" w:eastAsia="zh-CN"/>
              </w:rPr>
            </w:pPr>
            <w:r>
              <w:rPr>
                <w:rFonts w:hint="eastAsia"/>
              </w:rPr>
              <w:t xml:space="preserve"> 生产厂控制值≤±0.05</w:t>
            </w:r>
          </w:p>
        </w:tc>
        <w:tc>
          <w:tcPr>
            <w:tcW w:w="4828" w:type="dxa"/>
          </w:tcPr>
          <w:p>
            <w:pPr>
              <w:numPr>
                <w:ilvl w:val="0"/>
                <w:numId w:val="0"/>
              </w:numPr>
              <w:rPr>
                <w:rFonts w:hint="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3</w:t>
            </w:r>
          </w:p>
        </w:tc>
        <w:tc>
          <w:tcPr>
            <w:tcW w:w="1812" w:type="dxa"/>
          </w:tcPr>
          <w:p>
            <w:pPr>
              <w:numPr>
                <w:ilvl w:val="0"/>
                <w:numId w:val="0"/>
              </w:numPr>
              <w:rPr>
                <w:rFonts w:hint="eastAsia"/>
                <w:b/>
                <w:bCs/>
                <w:sz w:val="21"/>
                <w:szCs w:val="21"/>
                <w:vertAlign w:val="baseline"/>
                <w:lang w:val="en-US" w:eastAsia="zh-CN"/>
              </w:rPr>
            </w:pPr>
            <w:r>
              <w:rPr>
                <w:rFonts w:hint="eastAsia"/>
              </w:rPr>
              <w:t xml:space="preserve">黏度/（MPa·s） </w:t>
            </w:r>
          </w:p>
        </w:tc>
        <w:tc>
          <w:tcPr>
            <w:tcW w:w="2400" w:type="dxa"/>
          </w:tcPr>
          <w:p>
            <w:pPr>
              <w:numPr>
                <w:ilvl w:val="0"/>
                <w:numId w:val="0"/>
              </w:numPr>
              <w:rPr>
                <w:rFonts w:hint="eastAsia"/>
                <w:b/>
                <w:bCs/>
                <w:sz w:val="21"/>
                <w:szCs w:val="21"/>
                <w:vertAlign w:val="baseline"/>
                <w:lang w:val="en-US" w:eastAsia="zh-CN"/>
              </w:rPr>
            </w:pPr>
            <w:r>
              <w:rPr>
                <w:rFonts w:hint="eastAsia"/>
              </w:rPr>
              <w:t xml:space="preserve"> ≤10</w:t>
            </w:r>
          </w:p>
        </w:tc>
        <w:tc>
          <w:tcPr>
            <w:tcW w:w="4828" w:type="dxa"/>
          </w:tcPr>
          <w:p>
            <w:pPr>
              <w:numPr>
                <w:ilvl w:val="0"/>
                <w:numId w:val="0"/>
              </w:numPr>
              <w:rPr>
                <w:rFonts w:hint="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4</w:t>
            </w:r>
          </w:p>
        </w:tc>
        <w:tc>
          <w:tcPr>
            <w:tcW w:w="1812" w:type="dxa"/>
          </w:tcPr>
          <w:p>
            <w:pPr>
              <w:numPr>
                <w:ilvl w:val="0"/>
                <w:numId w:val="0"/>
              </w:numPr>
              <w:rPr>
                <w:rFonts w:hint="eastAsia"/>
                <w:b/>
                <w:bCs/>
                <w:sz w:val="21"/>
                <w:szCs w:val="21"/>
                <w:vertAlign w:val="baseline"/>
                <w:lang w:val="en-US" w:eastAsia="zh-CN"/>
              </w:rPr>
            </w:pPr>
            <w:r>
              <w:rPr>
                <w:rFonts w:hint="eastAsia"/>
              </w:rPr>
              <w:t>4 pH 值</w:t>
            </w:r>
          </w:p>
        </w:tc>
        <w:tc>
          <w:tcPr>
            <w:tcW w:w="2400" w:type="dxa"/>
          </w:tcPr>
          <w:p>
            <w:pPr>
              <w:numPr>
                <w:ilvl w:val="0"/>
                <w:numId w:val="0"/>
              </w:numPr>
              <w:rPr>
                <w:rFonts w:hint="eastAsia"/>
                <w:b/>
                <w:bCs/>
                <w:sz w:val="21"/>
                <w:szCs w:val="21"/>
                <w:vertAlign w:val="baseline"/>
                <w:lang w:val="en-US" w:eastAsia="zh-CN"/>
              </w:rPr>
            </w:pPr>
            <w:r>
              <w:rPr>
                <w:rFonts w:hint="eastAsia"/>
              </w:rPr>
              <w:t xml:space="preserve"> 6.0~9.0</w:t>
            </w:r>
          </w:p>
        </w:tc>
        <w:tc>
          <w:tcPr>
            <w:tcW w:w="4828" w:type="dxa"/>
          </w:tcPr>
          <w:p>
            <w:pPr>
              <w:numPr>
                <w:ilvl w:val="0"/>
                <w:numId w:val="0"/>
              </w:numPr>
              <w:rPr>
                <w:rFonts w:hint="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5</w:t>
            </w:r>
          </w:p>
        </w:tc>
        <w:tc>
          <w:tcPr>
            <w:tcW w:w="1812" w:type="dxa"/>
          </w:tcPr>
          <w:p>
            <w:pPr>
              <w:numPr>
                <w:ilvl w:val="0"/>
                <w:numId w:val="0"/>
              </w:numPr>
              <w:rPr>
                <w:rFonts w:hint="eastAsia"/>
                <w:b/>
                <w:bCs/>
                <w:sz w:val="21"/>
                <w:szCs w:val="21"/>
                <w:vertAlign w:val="baseline"/>
                <w:lang w:val="en-US" w:eastAsia="zh-CN"/>
              </w:rPr>
            </w:pPr>
            <w:r>
              <w:rPr>
                <w:rFonts w:hint="eastAsia"/>
              </w:rPr>
              <w:t xml:space="preserve">胶凝时间 </w:t>
            </w:r>
          </w:p>
        </w:tc>
        <w:tc>
          <w:tcPr>
            <w:tcW w:w="2400" w:type="dxa"/>
          </w:tcPr>
          <w:p>
            <w:pPr>
              <w:numPr>
                <w:ilvl w:val="0"/>
                <w:numId w:val="0"/>
              </w:numPr>
              <w:rPr>
                <w:rFonts w:hint="eastAsia"/>
                <w:b/>
                <w:bCs/>
                <w:sz w:val="21"/>
                <w:szCs w:val="21"/>
                <w:vertAlign w:val="baseline"/>
                <w:lang w:val="en-US" w:eastAsia="zh-CN"/>
              </w:rPr>
            </w:pPr>
            <w:r>
              <w:rPr>
                <w:rFonts w:hint="eastAsia"/>
              </w:rPr>
              <w:t xml:space="preserve"> 可调</w:t>
            </w:r>
          </w:p>
        </w:tc>
        <w:tc>
          <w:tcPr>
            <w:tcW w:w="4828" w:type="dxa"/>
          </w:tcPr>
          <w:p>
            <w:pPr>
              <w:numPr>
                <w:ilvl w:val="0"/>
                <w:numId w:val="0"/>
              </w:numPr>
              <w:rPr>
                <w:rFonts w:hint="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6</w:t>
            </w:r>
          </w:p>
        </w:tc>
        <w:tc>
          <w:tcPr>
            <w:tcW w:w="1812" w:type="dxa"/>
          </w:tcPr>
          <w:p>
            <w:pPr>
              <w:numPr>
                <w:ilvl w:val="0"/>
                <w:numId w:val="0"/>
              </w:numPr>
              <w:rPr>
                <w:rFonts w:hint="eastAsia"/>
                <w:b/>
                <w:bCs/>
                <w:sz w:val="21"/>
                <w:szCs w:val="21"/>
                <w:vertAlign w:val="baseline"/>
                <w:lang w:val="en-US" w:eastAsia="zh-CN"/>
              </w:rPr>
            </w:pPr>
            <w:r>
              <w:rPr>
                <w:rFonts w:hint="eastAsia"/>
              </w:rPr>
              <w:t xml:space="preserve">毒性 </w:t>
            </w:r>
          </w:p>
        </w:tc>
        <w:tc>
          <w:tcPr>
            <w:tcW w:w="2400" w:type="dxa"/>
          </w:tcPr>
          <w:p>
            <w:pPr>
              <w:numPr>
                <w:ilvl w:val="0"/>
                <w:numId w:val="0"/>
              </w:numPr>
              <w:rPr>
                <w:rFonts w:hint="eastAsia"/>
                <w:b/>
                <w:bCs/>
                <w:sz w:val="21"/>
                <w:szCs w:val="21"/>
                <w:vertAlign w:val="baseline"/>
                <w:lang w:val="en-US" w:eastAsia="zh-CN"/>
              </w:rPr>
            </w:pPr>
            <w:r>
              <w:rPr>
                <w:rFonts w:hint="eastAsia"/>
              </w:rPr>
              <w:t xml:space="preserve">毒性 </w:t>
            </w:r>
          </w:p>
        </w:tc>
        <w:tc>
          <w:tcPr>
            <w:tcW w:w="4828"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按我国食品安全性毒理学评价程序和方法为无毒</w:t>
            </w:r>
          </w:p>
        </w:tc>
      </w:tr>
    </w:tbl>
    <w:p>
      <w:pPr>
        <w:numPr>
          <w:ilvl w:val="0"/>
          <w:numId w:val="0"/>
        </w:numPr>
        <w:ind w:firstLine="2319" w:firstLineChars="1100"/>
        <w:rPr>
          <w:rFonts w:hint="eastAsia"/>
          <w:b/>
          <w:bCs/>
          <w:sz w:val="21"/>
          <w:szCs w:val="21"/>
          <w:lang w:val="en-US" w:eastAsia="zh-CN"/>
        </w:rPr>
      </w:pPr>
      <w:r>
        <w:rPr>
          <w:rFonts w:hint="eastAsia"/>
          <w:b/>
          <w:bCs/>
          <w:sz w:val="21"/>
          <w:szCs w:val="21"/>
          <w:lang w:val="en-US" w:eastAsia="zh-CN"/>
        </w:rPr>
        <w:t>表 8.9 丙烯酸盐灌浆液凝胶后的性能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170"/>
        <w:gridCol w:w="2441"/>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712"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序号</w:t>
            </w:r>
          </w:p>
        </w:tc>
        <w:tc>
          <w:tcPr>
            <w:tcW w:w="4170"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项目名称</w:t>
            </w:r>
          </w:p>
        </w:tc>
        <w:tc>
          <w:tcPr>
            <w:tcW w:w="4882" w:type="dxa"/>
            <w:gridSpan w:val="2"/>
          </w:tcPr>
          <w:p>
            <w:pPr>
              <w:numPr>
                <w:ilvl w:val="0"/>
                <w:numId w:val="0"/>
              </w:numPr>
              <w:ind w:firstLine="1680" w:firstLineChars="800"/>
              <w:rPr>
                <w:rFonts w:hint="eastAsia"/>
                <w:b w:val="0"/>
                <w:bCs w:val="0"/>
                <w:sz w:val="21"/>
                <w:szCs w:val="21"/>
                <w:vertAlign w:val="baseline"/>
                <w:lang w:val="en-US" w:eastAsia="zh-CN"/>
              </w:rPr>
            </w:pPr>
            <w:r>
              <w:rPr>
                <w:rFonts w:hint="eastAsia"/>
                <w:b w:val="0"/>
                <w:bCs w:val="0"/>
                <w:sz w:val="21"/>
                <w:szCs w:val="21"/>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12" w:type="dxa"/>
            <w:vMerge w:val="continue"/>
          </w:tcPr>
          <w:p>
            <w:pPr>
              <w:numPr>
                <w:ilvl w:val="0"/>
                <w:numId w:val="0"/>
              </w:numPr>
              <w:rPr>
                <w:rFonts w:hint="eastAsia"/>
                <w:b w:val="0"/>
                <w:bCs w:val="0"/>
                <w:sz w:val="21"/>
                <w:szCs w:val="21"/>
                <w:vertAlign w:val="baseline"/>
                <w:lang w:val="en-US" w:eastAsia="zh-CN"/>
              </w:rPr>
            </w:pPr>
          </w:p>
        </w:tc>
        <w:tc>
          <w:tcPr>
            <w:tcW w:w="4170" w:type="dxa"/>
            <w:vMerge w:val="continue"/>
          </w:tcPr>
          <w:p>
            <w:pPr>
              <w:numPr>
                <w:ilvl w:val="0"/>
                <w:numId w:val="0"/>
              </w:numPr>
              <w:rPr>
                <w:rFonts w:hint="eastAsia"/>
                <w:b w:val="0"/>
                <w:bCs w:val="0"/>
                <w:sz w:val="21"/>
                <w:szCs w:val="21"/>
                <w:vertAlign w:val="baseline"/>
                <w:lang w:val="en-US" w:eastAsia="zh-CN"/>
              </w:rPr>
            </w:pPr>
          </w:p>
        </w:tc>
        <w:tc>
          <w:tcPr>
            <w:tcW w:w="2441" w:type="dxa"/>
          </w:tcPr>
          <w:p>
            <w:pPr>
              <w:numPr>
                <w:ilvl w:val="0"/>
                <w:numId w:val="0"/>
              </w:numPr>
              <w:ind w:firstLine="420" w:firstLineChars="200"/>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Ⅰ型 </w:t>
            </w:r>
          </w:p>
        </w:tc>
        <w:tc>
          <w:tcPr>
            <w:tcW w:w="2441" w:type="dxa"/>
          </w:tcPr>
          <w:p>
            <w:pPr>
              <w:numPr>
                <w:ilvl w:val="0"/>
                <w:numId w:val="0"/>
              </w:numPr>
              <w:ind w:firstLine="420" w:firstLineChars="200"/>
              <w:rPr>
                <w:rFonts w:hint="eastAsia"/>
                <w:b w:val="0"/>
                <w:bCs w:val="0"/>
                <w:sz w:val="21"/>
                <w:szCs w:val="21"/>
                <w:vertAlign w:val="baseline"/>
                <w:lang w:val="en-US" w:eastAsia="zh-CN"/>
              </w:rPr>
            </w:pPr>
            <w:r>
              <w:rPr>
                <w:rFonts w:hint="eastAsia"/>
                <w:b w:val="0"/>
                <w:bCs w:val="0"/>
                <w:sz w:val="21"/>
                <w:szCs w:val="21"/>
                <w:vertAlign w:val="baseline"/>
                <w:lang w:val="en-US" w:eastAsia="zh-CN"/>
              </w:rPr>
              <w:t>Ⅱ型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71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w:t>
            </w:r>
          </w:p>
        </w:tc>
        <w:tc>
          <w:tcPr>
            <w:tcW w:w="4170"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渗透系数/（cm/s） </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＜1×10</w:t>
            </w:r>
            <w:r>
              <w:rPr>
                <w:rFonts w:hint="eastAsia"/>
                <w:b w:val="0"/>
                <w:bCs w:val="0"/>
                <w:sz w:val="13"/>
                <w:szCs w:val="13"/>
                <w:vertAlign w:val="baseline"/>
                <w:lang w:val="en-US" w:eastAsia="zh-CN"/>
              </w:rPr>
              <w:t>－6</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＜1×10</w:t>
            </w:r>
            <w:r>
              <w:rPr>
                <w:rFonts w:hint="eastAsia"/>
                <w:b w:val="0"/>
                <w:bCs w:val="0"/>
                <w:sz w:val="13"/>
                <w:szCs w:val="13"/>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w:t>
            </w:r>
          </w:p>
        </w:tc>
        <w:tc>
          <w:tcPr>
            <w:tcW w:w="4170"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固砂体抗压强度/kPa </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≥200</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w:t>
            </w:r>
          </w:p>
        </w:tc>
        <w:tc>
          <w:tcPr>
            <w:tcW w:w="4170"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抗挤出破坏比降  </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≥300</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4</w:t>
            </w:r>
          </w:p>
        </w:tc>
        <w:tc>
          <w:tcPr>
            <w:tcW w:w="4170"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遇水膨胀率/%</w:t>
            </w:r>
          </w:p>
        </w:tc>
        <w:tc>
          <w:tcPr>
            <w:tcW w:w="4882" w:type="dxa"/>
            <w:gridSpan w:val="2"/>
          </w:tcPr>
          <w:p>
            <w:pPr>
              <w:numPr>
                <w:ilvl w:val="0"/>
                <w:numId w:val="0"/>
              </w:numPr>
              <w:ind w:firstLine="1260" w:firstLineChars="600"/>
              <w:rPr>
                <w:rFonts w:hint="eastAsia"/>
                <w:b w:val="0"/>
                <w:bCs w:val="0"/>
                <w:sz w:val="21"/>
                <w:szCs w:val="21"/>
                <w:vertAlign w:val="baseline"/>
                <w:lang w:val="en-US" w:eastAsia="zh-CN"/>
              </w:rPr>
            </w:pPr>
            <w:r>
              <w:rPr>
                <w:rFonts w:hint="eastAsia"/>
                <w:b w:val="0"/>
                <w:bCs w:val="0"/>
                <w:sz w:val="21"/>
                <w:szCs w:val="21"/>
                <w:vertAlign w:val="baseline"/>
                <w:lang w:val="en-US" w:eastAsia="zh-CN"/>
              </w:rPr>
              <w:t>≥30</w:t>
            </w:r>
          </w:p>
        </w:tc>
      </w:tr>
    </w:tbl>
    <w:p>
      <w:pPr>
        <w:numPr>
          <w:ilvl w:val="0"/>
          <w:numId w:val="0"/>
        </w:numPr>
        <w:rPr>
          <w:rFonts w:hint="eastAsia"/>
          <w:b/>
          <w:bCs/>
          <w:sz w:val="24"/>
          <w:szCs w:val="24"/>
          <w:lang w:val="en-US" w:eastAsia="zh-CN"/>
        </w:rPr>
      </w:pPr>
      <w:r>
        <w:rPr>
          <w:rFonts w:hint="eastAsia"/>
          <w:b/>
          <w:bCs/>
          <w:sz w:val="24"/>
          <w:szCs w:val="24"/>
          <w:lang w:val="en-US" w:eastAsia="zh-CN"/>
        </w:rPr>
        <w:t>8.5 种植屋面防水施工技术指标</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改性沥青类防水卷材厚度不小于 4.0 mm，塑料类防水卷材不小于 1.2 mm。</w:t>
      </w:r>
    </w:p>
    <w:p>
      <w:pPr>
        <w:numPr>
          <w:ilvl w:val="0"/>
          <w:numId w:val="0"/>
        </w:numPr>
        <w:rPr>
          <w:rFonts w:hint="eastAsia"/>
          <w:b w:val="0"/>
          <w:bCs w:val="0"/>
          <w:sz w:val="24"/>
          <w:szCs w:val="24"/>
          <w:lang w:val="en-US" w:eastAsia="zh-CN"/>
        </w:rPr>
      </w:pPr>
      <w:r>
        <w:rPr>
          <w:rFonts w:hint="eastAsia"/>
          <w:b w:val="0"/>
          <w:bCs w:val="0"/>
          <w:sz w:val="24"/>
          <w:szCs w:val="24"/>
          <w:lang w:val="en-US" w:eastAsia="zh-CN"/>
        </w:rPr>
        <w:t>种植屋面系统用耐根穿刺防水卷材基本物理力学性能，应符合表 8.10 相应国家标准中的全部相关要求，尺寸变化率应符合表 8.11 的规定。</w:t>
      </w:r>
    </w:p>
    <w:p>
      <w:pPr>
        <w:numPr>
          <w:ilvl w:val="0"/>
          <w:numId w:val="0"/>
        </w:numPr>
        <w:ind w:firstLine="2530" w:firstLineChars="1200"/>
        <w:rPr>
          <w:rFonts w:hint="eastAsia"/>
          <w:b/>
          <w:bCs/>
          <w:sz w:val="21"/>
          <w:szCs w:val="21"/>
          <w:lang w:val="en-US" w:eastAsia="zh-CN"/>
        </w:rPr>
      </w:pPr>
      <w:r>
        <w:rPr>
          <w:rFonts w:hint="eastAsia"/>
          <w:b/>
          <w:bCs/>
          <w:sz w:val="21"/>
          <w:szCs w:val="21"/>
          <w:lang w:val="en-US" w:eastAsia="zh-CN"/>
        </w:rPr>
        <w:t>表 8.10 现行国家标准及相关要求</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4332"/>
        <w:gridCol w:w="4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序号</w:t>
            </w:r>
          </w:p>
        </w:tc>
        <w:tc>
          <w:tcPr>
            <w:tcW w:w="4332" w:type="dxa"/>
          </w:tcPr>
          <w:p>
            <w:pPr>
              <w:numPr>
                <w:ilvl w:val="0"/>
                <w:numId w:val="0"/>
              </w:numPr>
              <w:ind w:firstLine="1260" w:firstLineChars="600"/>
              <w:rPr>
                <w:rFonts w:hint="eastAsia"/>
                <w:b w:val="0"/>
                <w:bCs w:val="0"/>
                <w:sz w:val="21"/>
                <w:szCs w:val="21"/>
                <w:vertAlign w:val="baseline"/>
                <w:lang w:val="en-US" w:eastAsia="zh-CN"/>
              </w:rPr>
            </w:pPr>
            <w:r>
              <w:rPr>
                <w:rFonts w:hint="eastAsia"/>
                <w:b w:val="0"/>
                <w:bCs w:val="0"/>
                <w:sz w:val="21"/>
                <w:szCs w:val="21"/>
                <w:vertAlign w:val="baseline"/>
                <w:lang w:val="en-US" w:eastAsia="zh-CN"/>
              </w:rPr>
              <w:t>项目</w:t>
            </w:r>
          </w:p>
        </w:tc>
        <w:tc>
          <w:tcPr>
            <w:tcW w:w="446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w:t>
            </w:r>
          </w:p>
        </w:tc>
        <w:tc>
          <w:tcPr>
            <w:tcW w:w="4332" w:type="dxa"/>
          </w:tcPr>
          <w:p>
            <w:pPr>
              <w:numPr>
                <w:ilvl w:val="0"/>
                <w:numId w:val="0"/>
              </w:numPr>
              <w:ind w:firstLine="210" w:firstLineChars="100"/>
              <w:rPr>
                <w:rFonts w:hint="eastAsia"/>
                <w:b w:val="0"/>
                <w:bCs w:val="0"/>
                <w:sz w:val="21"/>
                <w:szCs w:val="21"/>
                <w:vertAlign w:val="baseline"/>
                <w:lang w:val="en-US" w:eastAsia="zh-CN"/>
              </w:rPr>
            </w:pPr>
            <w:r>
              <w:rPr>
                <w:rFonts w:hint="eastAsia"/>
              </w:rPr>
              <w:t xml:space="preserve">GB 18242 </w:t>
            </w:r>
          </w:p>
        </w:tc>
        <w:tc>
          <w:tcPr>
            <w:tcW w:w="4468" w:type="dxa"/>
          </w:tcPr>
          <w:p>
            <w:pPr>
              <w:numPr>
                <w:ilvl w:val="0"/>
                <w:numId w:val="0"/>
              </w:numPr>
              <w:rPr>
                <w:rFonts w:hint="eastAsia"/>
                <w:b w:val="0"/>
                <w:bCs w:val="0"/>
                <w:sz w:val="21"/>
                <w:szCs w:val="21"/>
                <w:vertAlign w:val="baseline"/>
                <w:lang w:val="en-US" w:eastAsia="zh-CN"/>
              </w:rPr>
            </w:pPr>
            <w:r>
              <w:rPr>
                <w:rFonts w:hint="eastAsia"/>
              </w:rPr>
              <w:t xml:space="preserve"> </w:t>
            </w:r>
            <w:r>
              <w:rPr>
                <w:rFonts w:hint="eastAsia"/>
                <w:lang w:val="en-US" w:eastAsia="zh-CN"/>
              </w:rPr>
              <w:t xml:space="preserve">   </w:t>
            </w:r>
            <w:r>
              <w:rPr>
                <w:rFonts w:hint="eastAsia"/>
              </w:rPr>
              <w:t>Ⅱ型全部相关要求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w:t>
            </w:r>
          </w:p>
        </w:tc>
        <w:tc>
          <w:tcPr>
            <w:tcW w:w="4332" w:type="dxa"/>
          </w:tcPr>
          <w:p>
            <w:pPr>
              <w:numPr>
                <w:ilvl w:val="0"/>
                <w:numId w:val="0"/>
              </w:numPr>
              <w:rPr>
                <w:rFonts w:hint="eastAsia"/>
                <w:b w:val="0"/>
                <w:bCs w:val="0"/>
                <w:sz w:val="21"/>
                <w:szCs w:val="21"/>
                <w:vertAlign w:val="baseline"/>
                <w:lang w:val="en-US" w:eastAsia="zh-CN"/>
              </w:rPr>
            </w:pPr>
            <w:r>
              <w:rPr>
                <w:rFonts w:hint="eastAsia"/>
              </w:rPr>
              <w:t xml:space="preserve"> </w:t>
            </w:r>
            <w:r>
              <w:rPr>
                <w:rFonts w:hint="eastAsia"/>
                <w:lang w:val="en-US" w:eastAsia="zh-CN"/>
              </w:rPr>
              <w:t xml:space="preserve"> </w:t>
            </w:r>
            <w:r>
              <w:rPr>
                <w:rFonts w:hint="eastAsia"/>
              </w:rPr>
              <w:t xml:space="preserve">GB 18243 </w:t>
            </w:r>
          </w:p>
        </w:tc>
        <w:tc>
          <w:tcPr>
            <w:tcW w:w="4468" w:type="dxa"/>
          </w:tcPr>
          <w:p>
            <w:pPr>
              <w:numPr>
                <w:ilvl w:val="0"/>
                <w:numId w:val="0"/>
              </w:numPr>
              <w:ind w:firstLine="420" w:firstLineChars="200"/>
              <w:rPr>
                <w:rFonts w:hint="eastAsia"/>
                <w:b w:val="0"/>
                <w:bCs w:val="0"/>
                <w:sz w:val="21"/>
                <w:szCs w:val="21"/>
                <w:vertAlign w:val="baseline"/>
                <w:lang w:val="en-US" w:eastAsia="zh-CN"/>
              </w:rPr>
            </w:pPr>
            <w:r>
              <w:rPr>
                <w:rFonts w:hint="eastAsia"/>
              </w:rPr>
              <w:t>Ⅱ型全部相关要求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w:t>
            </w:r>
          </w:p>
        </w:tc>
        <w:tc>
          <w:tcPr>
            <w:tcW w:w="4332" w:type="dxa"/>
          </w:tcPr>
          <w:p>
            <w:pPr>
              <w:numPr>
                <w:ilvl w:val="0"/>
                <w:numId w:val="0"/>
              </w:numPr>
              <w:rPr>
                <w:rFonts w:hint="eastAsia"/>
                <w:b w:val="0"/>
                <w:bCs w:val="0"/>
                <w:sz w:val="21"/>
                <w:szCs w:val="21"/>
                <w:vertAlign w:val="baseline"/>
                <w:lang w:val="en-US" w:eastAsia="zh-CN"/>
              </w:rPr>
            </w:pPr>
            <w:r>
              <w:rPr>
                <w:rFonts w:hint="eastAsia"/>
              </w:rPr>
              <w:t xml:space="preserve"> </w:t>
            </w:r>
            <w:r>
              <w:rPr>
                <w:rFonts w:hint="eastAsia"/>
                <w:lang w:val="en-US" w:eastAsia="zh-CN"/>
              </w:rPr>
              <w:t xml:space="preserve"> </w:t>
            </w:r>
            <w:r>
              <w:rPr>
                <w:rFonts w:hint="eastAsia"/>
              </w:rPr>
              <w:t xml:space="preserve">GB 12952 </w:t>
            </w:r>
          </w:p>
        </w:tc>
        <w:tc>
          <w:tcPr>
            <w:tcW w:w="4468" w:type="dxa"/>
          </w:tcPr>
          <w:p>
            <w:pPr>
              <w:numPr>
                <w:ilvl w:val="0"/>
                <w:numId w:val="0"/>
              </w:numPr>
              <w:rPr>
                <w:rFonts w:hint="eastAsia"/>
                <w:b w:val="0"/>
                <w:bCs w:val="0"/>
                <w:sz w:val="21"/>
                <w:szCs w:val="21"/>
                <w:vertAlign w:val="baseline"/>
                <w:lang w:val="en-US" w:eastAsia="zh-CN"/>
              </w:rPr>
            </w:pPr>
            <w:r>
              <w:rPr>
                <w:rFonts w:hint="eastAsia"/>
              </w:rPr>
              <w:t xml:space="preserve"> </w:t>
            </w:r>
            <w:r>
              <w:rPr>
                <w:rFonts w:hint="eastAsia"/>
                <w:lang w:val="en-US" w:eastAsia="zh-CN"/>
              </w:rPr>
              <w:t xml:space="preserve">   </w:t>
            </w:r>
            <w:r>
              <w:rPr>
                <w:rFonts w:hint="eastAsia"/>
              </w:rPr>
              <w:t>全部相关要求(外露卷材)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4</w:t>
            </w:r>
          </w:p>
        </w:tc>
        <w:tc>
          <w:tcPr>
            <w:tcW w:w="4332" w:type="dxa"/>
          </w:tcPr>
          <w:p>
            <w:pPr>
              <w:numPr>
                <w:ilvl w:val="0"/>
                <w:numId w:val="0"/>
              </w:numPr>
              <w:ind w:firstLine="210" w:firstLineChars="100"/>
              <w:rPr>
                <w:rFonts w:hint="eastAsia"/>
                <w:b w:val="0"/>
                <w:bCs w:val="0"/>
                <w:sz w:val="21"/>
                <w:szCs w:val="21"/>
                <w:vertAlign w:val="baseline"/>
                <w:lang w:val="en-US" w:eastAsia="zh-CN"/>
              </w:rPr>
            </w:pPr>
            <w:r>
              <w:rPr>
                <w:rFonts w:hint="eastAsia"/>
              </w:rPr>
              <w:t xml:space="preserve">GB 27789 </w:t>
            </w:r>
          </w:p>
        </w:tc>
        <w:tc>
          <w:tcPr>
            <w:tcW w:w="4468" w:type="dxa"/>
          </w:tcPr>
          <w:p>
            <w:pPr>
              <w:numPr>
                <w:ilvl w:val="0"/>
                <w:numId w:val="0"/>
              </w:numPr>
              <w:rPr>
                <w:rFonts w:hint="eastAsia"/>
                <w:b w:val="0"/>
                <w:bCs w:val="0"/>
                <w:sz w:val="21"/>
                <w:szCs w:val="21"/>
                <w:vertAlign w:val="baseline"/>
                <w:lang w:val="en-US" w:eastAsia="zh-CN"/>
              </w:rPr>
            </w:pPr>
            <w:r>
              <w:rPr>
                <w:rFonts w:hint="eastAsia"/>
              </w:rPr>
              <w:t xml:space="preserve"> </w:t>
            </w:r>
            <w:r>
              <w:rPr>
                <w:rFonts w:hint="eastAsia"/>
                <w:lang w:val="en-US" w:eastAsia="zh-CN"/>
              </w:rPr>
              <w:t xml:space="preserve">   </w:t>
            </w:r>
            <w:r>
              <w:rPr>
                <w:rFonts w:hint="eastAsia"/>
              </w:rPr>
              <w:t>全部相关要求(外露卷材)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5</w:t>
            </w:r>
          </w:p>
        </w:tc>
        <w:tc>
          <w:tcPr>
            <w:tcW w:w="4332" w:type="dxa"/>
          </w:tcPr>
          <w:p>
            <w:pPr>
              <w:numPr>
                <w:ilvl w:val="0"/>
                <w:numId w:val="0"/>
              </w:numPr>
              <w:ind w:firstLine="210" w:firstLineChars="100"/>
              <w:rPr>
                <w:rFonts w:hint="eastAsia"/>
                <w:b w:val="0"/>
                <w:bCs w:val="0"/>
                <w:sz w:val="21"/>
                <w:szCs w:val="21"/>
                <w:vertAlign w:val="baseline"/>
                <w:lang w:val="en-US" w:eastAsia="zh-CN"/>
              </w:rPr>
            </w:pPr>
            <w:r>
              <w:rPr>
                <w:rFonts w:hint="eastAsia"/>
              </w:rPr>
              <w:t xml:space="preserve">GB 18173.1 </w:t>
            </w:r>
          </w:p>
        </w:tc>
        <w:tc>
          <w:tcPr>
            <w:tcW w:w="4468" w:type="dxa"/>
          </w:tcPr>
          <w:p>
            <w:pPr>
              <w:numPr>
                <w:ilvl w:val="0"/>
                <w:numId w:val="0"/>
              </w:numPr>
              <w:ind w:firstLine="420" w:firstLineChars="200"/>
              <w:rPr>
                <w:rFonts w:hint="eastAsia"/>
                <w:b w:val="0"/>
                <w:bCs w:val="0"/>
                <w:sz w:val="21"/>
                <w:szCs w:val="21"/>
                <w:vertAlign w:val="baseline"/>
                <w:lang w:val="en-US" w:eastAsia="zh-CN"/>
              </w:rPr>
            </w:pPr>
            <w:r>
              <w:rPr>
                <w:rFonts w:hint="eastAsia"/>
              </w:rPr>
              <w:t>全部相关要求</w:t>
            </w:r>
          </w:p>
        </w:tc>
      </w:tr>
    </w:tbl>
    <w:p>
      <w:pPr>
        <w:numPr>
          <w:ilvl w:val="0"/>
          <w:numId w:val="0"/>
        </w:numPr>
        <w:ind w:firstLine="3162" w:firstLineChars="1500"/>
        <w:rPr>
          <w:rFonts w:hint="eastAsia"/>
          <w:b/>
          <w:bCs/>
          <w:sz w:val="21"/>
          <w:szCs w:val="21"/>
          <w:lang w:val="en-US" w:eastAsia="zh-CN"/>
        </w:rPr>
      </w:pPr>
      <w:r>
        <w:rPr>
          <w:rFonts w:hint="eastAsia"/>
          <w:b/>
          <w:bCs/>
          <w:sz w:val="21"/>
          <w:szCs w:val="21"/>
          <w:lang w:val="en-US" w:eastAsia="zh-CN"/>
        </w:rPr>
        <w:t>表 8.11 应用性能</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112"/>
        <w:gridCol w:w="1560"/>
        <w:gridCol w:w="1764"/>
        <w:gridCol w:w="995"/>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序号</w:t>
            </w:r>
          </w:p>
        </w:tc>
        <w:tc>
          <w:tcPr>
            <w:tcW w:w="6431" w:type="dxa"/>
            <w:gridSpan w:val="4"/>
          </w:tcPr>
          <w:p>
            <w:pPr>
              <w:numPr>
                <w:ilvl w:val="0"/>
                <w:numId w:val="0"/>
              </w:numPr>
              <w:rPr>
                <w:rFonts w:hint="eastAsia"/>
                <w:b/>
                <w:bCs/>
                <w:sz w:val="21"/>
                <w:szCs w:val="21"/>
                <w:vertAlign w:val="baseline"/>
                <w:lang w:val="en-US" w:eastAsia="zh-CN"/>
              </w:rPr>
            </w:pPr>
            <w:r>
              <w:rPr>
                <w:rFonts w:hint="eastAsia"/>
                <w:b w:val="0"/>
                <w:bCs w:val="0"/>
                <w:i w:val="0"/>
                <w:iCs w:val="0"/>
                <w:sz w:val="21"/>
                <w:szCs w:val="21"/>
                <w:vertAlign w:val="baseline"/>
                <w:lang w:val="en-US" w:eastAsia="zh-CN"/>
              </w:rPr>
              <w:t>项目</w:t>
            </w:r>
          </w:p>
        </w:tc>
        <w:tc>
          <w:tcPr>
            <w:tcW w:w="2441"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w:t>
            </w:r>
          </w:p>
        </w:tc>
        <w:tc>
          <w:tcPr>
            <w:tcW w:w="211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耐霉菌腐蚀性</w:t>
            </w:r>
          </w:p>
        </w:tc>
        <w:tc>
          <w:tcPr>
            <w:tcW w:w="4319" w:type="dxa"/>
            <w:gridSpan w:val="3"/>
          </w:tcPr>
          <w:p>
            <w:pPr>
              <w:numPr>
                <w:ilvl w:val="0"/>
                <w:numId w:val="0"/>
              </w:numPr>
              <w:ind w:firstLine="420" w:firstLineChars="200"/>
              <w:rPr>
                <w:rFonts w:hint="eastAsia"/>
                <w:b/>
                <w:bCs/>
                <w:sz w:val="21"/>
                <w:szCs w:val="21"/>
                <w:vertAlign w:val="baseline"/>
                <w:lang w:val="en-US" w:eastAsia="zh-CN"/>
              </w:rPr>
            </w:pPr>
            <w:r>
              <w:rPr>
                <w:rFonts w:hint="eastAsia"/>
                <w:b w:val="0"/>
                <w:bCs w:val="0"/>
                <w:sz w:val="21"/>
                <w:szCs w:val="21"/>
                <w:vertAlign w:val="baseline"/>
                <w:lang w:val="en-US" w:eastAsia="zh-CN"/>
              </w:rPr>
              <w:t xml:space="preserve">防霉等级 </w:t>
            </w:r>
          </w:p>
        </w:tc>
        <w:tc>
          <w:tcPr>
            <w:tcW w:w="2441"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0 级或 1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892"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w:t>
            </w:r>
          </w:p>
        </w:tc>
        <w:tc>
          <w:tcPr>
            <w:tcW w:w="2112" w:type="dxa"/>
            <w:vMerge w:val="restart"/>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尺寸变化率/％ ≤</w:t>
            </w:r>
          </w:p>
        </w:tc>
        <w:tc>
          <w:tcPr>
            <w:tcW w:w="4319" w:type="dxa"/>
            <w:gridSpan w:val="3"/>
          </w:tcPr>
          <w:p>
            <w:pPr>
              <w:numPr>
                <w:ilvl w:val="0"/>
                <w:numId w:val="0"/>
              </w:numPr>
              <w:rPr>
                <w:rFonts w:hint="eastAsia"/>
                <w:b w:val="0"/>
                <w:bCs w:val="0"/>
                <w:sz w:val="21"/>
                <w:szCs w:val="21"/>
                <w:vertAlign w:val="baseline"/>
                <w:lang w:val="en-US" w:eastAsia="zh-CN"/>
              </w:rPr>
            </w:pPr>
            <w:r>
              <w:rPr>
                <w:rFonts w:hint="eastAsia"/>
              </w:rPr>
              <w:t xml:space="preserve">匀质材料 </w:t>
            </w:r>
          </w:p>
        </w:tc>
        <w:tc>
          <w:tcPr>
            <w:tcW w:w="2441" w:type="dxa"/>
          </w:tcPr>
          <w:p>
            <w:pPr>
              <w:numPr>
                <w:ilvl w:val="0"/>
                <w:numId w:val="0"/>
              </w:numPr>
              <w:rPr>
                <w:rFonts w:hint="eastAsia"/>
                <w:b w:val="0"/>
                <w:bCs w:val="0"/>
                <w:sz w:val="21"/>
                <w:szCs w:val="21"/>
                <w:vertAlign w:val="baseline"/>
                <w:lang w:val="en-US" w:eastAsia="zh-CN"/>
              </w:rPr>
            </w:pPr>
            <w:r>
              <w:rPr>
                <w:rFonts w:hint="eastAsia"/>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892" w:type="dxa"/>
            <w:vMerge w:val="continue"/>
          </w:tcPr>
          <w:p>
            <w:pPr>
              <w:numPr>
                <w:ilvl w:val="0"/>
                <w:numId w:val="0"/>
              </w:numPr>
              <w:rPr>
                <w:rFonts w:hint="eastAsia"/>
                <w:b w:val="0"/>
                <w:bCs w:val="0"/>
                <w:sz w:val="21"/>
                <w:szCs w:val="21"/>
                <w:vertAlign w:val="baseline"/>
                <w:lang w:val="en-US" w:eastAsia="zh-CN"/>
              </w:rPr>
            </w:pPr>
          </w:p>
        </w:tc>
        <w:tc>
          <w:tcPr>
            <w:tcW w:w="2112" w:type="dxa"/>
            <w:vMerge w:val="continue"/>
          </w:tcPr>
          <w:p>
            <w:pPr>
              <w:numPr>
                <w:ilvl w:val="0"/>
                <w:numId w:val="0"/>
              </w:numPr>
              <w:rPr>
                <w:rFonts w:hint="eastAsia"/>
                <w:b w:val="0"/>
                <w:bCs w:val="0"/>
                <w:sz w:val="21"/>
                <w:szCs w:val="21"/>
                <w:vertAlign w:val="baseline"/>
                <w:lang w:val="en-US" w:eastAsia="zh-CN"/>
              </w:rPr>
            </w:pPr>
          </w:p>
        </w:tc>
        <w:tc>
          <w:tcPr>
            <w:tcW w:w="4319" w:type="dxa"/>
            <w:gridSpan w:val="3"/>
          </w:tcPr>
          <w:p>
            <w:pPr>
              <w:numPr>
                <w:ilvl w:val="0"/>
                <w:numId w:val="0"/>
              </w:numPr>
              <w:rPr>
                <w:rFonts w:hint="eastAsia"/>
                <w:b w:val="0"/>
                <w:bCs w:val="0"/>
                <w:sz w:val="21"/>
                <w:szCs w:val="21"/>
                <w:vertAlign w:val="baseline"/>
                <w:lang w:val="en-US" w:eastAsia="zh-CN"/>
              </w:rPr>
            </w:pPr>
            <w:r>
              <w:rPr>
                <w:rFonts w:hint="eastAsia"/>
              </w:rPr>
              <w:t xml:space="preserve">纤维、织物胎基或背衬材料 </w:t>
            </w:r>
          </w:p>
        </w:tc>
        <w:tc>
          <w:tcPr>
            <w:tcW w:w="2441" w:type="dxa"/>
          </w:tcPr>
          <w:p>
            <w:pPr>
              <w:numPr>
                <w:ilvl w:val="0"/>
                <w:numId w:val="0"/>
              </w:numPr>
              <w:rPr>
                <w:rFonts w:hint="eastAsia"/>
                <w:b w:val="0"/>
                <w:bCs w:val="0"/>
                <w:sz w:val="21"/>
                <w:szCs w:val="21"/>
                <w:vertAlign w:val="baseline"/>
                <w:lang w:val="en-US" w:eastAsia="zh-CN"/>
              </w:rPr>
            </w:pPr>
            <w:r>
              <w:rPr>
                <w:rFonts w:hint="eastAsia"/>
              </w:rPr>
              <w:t xml:space="preserve">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92"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w:t>
            </w:r>
          </w:p>
        </w:tc>
        <w:tc>
          <w:tcPr>
            <w:tcW w:w="2112"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接缝剥离强度</w:t>
            </w:r>
          </w:p>
        </w:tc>
        <w:tc>
          <w:tcPr>
            <w:tcW w:w="1560" w:type="dxa"/>
            <w:vMerge w:val="restart"/>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无处理/(N/mm)</w:t>
            </w:r>
          </w:p>
        </w:tc>
        <w:tc>
          <w:tcPr>
            <w:tcW w:w="1764" w:type="dxa"/>
            <w:vMerge w:val="restart"/>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改性沥青防水卷</w:t>
            </w:r>
          </w:p>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材</w:t>
            </w:r>
          </w:p>
        </w:tc>
        <w:tc>
          <w:tcPr>
            <w:tcW w:w="995" w:type="dxa"/>
          </w:tcPr>
          <w:p>
            <w:pPr>
              <w:numPr>
                <w:ilvl w:val="0"/>
                <w:numId w:val="0"/>
              </w:numPr>
              <w:rPr>
                <w:rFonts w:hint="eastAsia"/>
                <w:b w:val="0"/>
                <w:bCs w:val="0"/>
                <w:sz w:val="21"/>
                <w:szCs w:val="21"/>
                <w:vertAlign w:val="baseline"/>
                <w:lang w:val="en-US" w:eastAsia="zh-CN"/>
              </w:rPr>
            </w:pPr>
            <w:r>
              <w:rPr>
                <w:rFonts w:hint="eastAsia"/>
                <w:b w:val="0"/>
                <w:bCs w:val="0"/>
              </w:rPr>
              <w:t xml:space="preserve">SBS </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92" w:type="dxa"/>
            <w:vMerge w:val="continue"/>
          </w:tcPr>
          <w:p>
            <w:pPr>
              <w:numPr>
                <w:ilvl w:val="0"/>
                <w:numId w:val="0"/>
              </w:numPr>
              <w:rPr>
                <w:rFonts w:hint="eastAsia"/>
                <w:b w:val="0"/>
                <w:bCs w:val="0"/>
                <w:sz w:val="21"/>
                <w:szCs w:val="21"/>
                <w:vertAlign w:val="baseline"/>
                <w:lang w:val="en-US" w:eastAsia="zh-CN"/>
              </w:rPr>
            </w:pPr>
          </w:p>
        </w:tc>
        <w:tc>
          <w:tcPr>
            <w:tcW w:w="2112" w:type="dxa"/>
            <w:vMerge w:val="continue"/>
          </w:tcPr>
          <w:p>
            <w:pPr>
              <w:numPr>
                <w:ilvl w:val="0"/>
                <w:numId w:val="0"/>
              </w:numPr>
              <w:rPr>
                <w:rFonts w:hint="eastAsia"/>
                <w:b w:val="0"/>
                <w:bCs w:val="0"/>
                <w:sz w:val="21"/>
                <w:szCs w:val="21"/>
                <w:vertAlign w:val="baseline"/>
                <w:lang w:val="en-US" w:eastAsia="zh-CN"/>
              </w:rPr>
            </w:pPr>
          </w:p>
        </w:tc>
        <w:tc>
          <w:tcPr>
            <w:tcW w:w="1560" w:type="dxa"/>
            <w:vMerge w:val="continue"/>
          </w:tcPr>
          <w:p>
            <w:pPr>
              <w:numPr>
                <w:ilvl w:val="0"/>
                <w:numId w:val="0"/>
              </w:numPr>
              <w:rPr>
                <w:rFonts w:hint="eastAsia"/>
                <w:b/>
                <w:bCs/>
                <w:sz w:val="21"/>
                <w:szCs w:val="21"/>
                <w:vertAlign w:val="baseline"/>
                <w:lang w:val="en-US" w:eastAsia="zh-CN"/>
              </w:rPr>
            </w:pPr>
          </w:p>
        </w:tc>
        <w:tc>
          <w:tcPr>
            <w:tcW w:w="1764" w:type="dxa"/>
            <w:vMerge w:val="continue"/>
          </w:tcPr>
          <w:p>
            <w:pPr>
              <w:numPr>
                <w:ilvl w:val="0"/>
                <w:numId w:val="0"/>
              </w:numPr>
              <w:rPr>
                <w:rFonts w:hint="eastAsia"/>
                <w:b/>
                <w:bCs/>
                <w:sz w:val="21"/>
                <w:szCs w:val="21"/>
                <w:vertAlign w:val="baseline"/>
                <w:lang w:val="en-US" w:eastAsia="zh-CN"/>
              </w:rPr>
            </w:pPr>
          </w:p>
        </w:tc>
        <w:tc>
          <w:tcPr>
            <w:tcW w:w="995" w:type="dxa"/>
          </w:tcPr>
          <w:p>
            <w:pPr>
              <w:numPr>
                <w:ilvl w:val="0"/>
                <w:numId w:val="0"/>
              </w:numPr>
              <w:rPr>
                <w:rFonts w:hint="eastAsia"/>
                <w:b w:val="0"/>
                <w:bCs w:val="0"/>
                <w:sz w:val="21"/>
                <w:szCs w:val="21"/>
                <w:vertAlign w:val="baseline"/>
                <w:lang w:val="en-US" w:eastAsia="zh-CN"/>
              </w:rPr>
            </w:pPr>
            <w:r>
              <w:rPr>
                <w:rFonts w:hint="eastAsia"/>
                <w:b w:val="0"/>
                <w:bCs w:val="0"/>
              </w:rPr>
              <w:t xml:space="preserve">APP </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92" w:type="dxa"/>
            <w:vMerge w:val="continue"/>
          </w:tcPr>
          <w:p>
            <w:pPr>
              <w:numPr>
                <w:ilvl w:val="0"/>
                <w:numId w:val="0"/>
              </w:numPr>
              <w:rPr>
                <w:rFonts w:hint="eastAsia"/>
                <w:b w:val="0"/>
                <w:bCs w:val="0"/>
                <w:sz w:val="21"/>
                <w:szCs w:val="21"/>
                <w:vertAlign w:val="baseline"/>
                <w:lang w:val="en-US" w:eastAsia="zh-CN"/>
              </w:rPr>
            </w:pPr>
          </w:p>
        </w:tc>
        <w:tc>
          <w:tcPr>
            <w:tcW w:w="2112" w:type="dxa"/>
            <w:vMerge w:val="continue"/>
          </w:tcPr>
          <w:p>
            <w:pPr>
              <w:numPr>
                <w:ilvl w:val="0"/>
                <w:numId w:val="0"/>
              </w:numPr>
              <w:rPr>
                <w:rFonts w:hint="eastAsia"/>
                <w:b w:val="0"/>
                <w:bCs w:val="0"/>
                <w:sz w:val="21"/>
                <w:szCs w:val="21"/>
                <w:vertAlign w:val="baseline"/>
                <w:lang w:val="en-US" w:eastAsia="zh-CN"/>
              </w:rPr>
            </w:pPr>
          </w:p>
        </w:tc>
        <w:tc>
          <w:tcPr>
            <w:tcW w:w="1560" w:type="dxa"/>
            <w:vMerge w:val="continue"/>
          </w:tcPr>
          <w:p>
            <w:pPr>
              <w:numPr>
                <w:ilvl w:val="0"/>
                <w:numId w:val="0"/>
              </w:numPr>
              <w:rPr>
                <w:rFonts w:hint="eastAsia"/>
                <w:b/>
                <w:bCs/>
                <w:sz w:val="21"/>
                <w:szCs w:val="21"/>
                <w:vertAlign w:val="baseline"/>
                <w:lang w:val="en-US" w:eastAsia="zh-CN"/>
              </w:rPr>
            </w:pPr>
          </w:p>
        </w:tc>
        <w:tc>
          <w:tcPr>
            <w:tcW w:w="176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塑料防水卷材  </w:t>
            </w:r>
          </w:p>
        </w:tc>
        <w:tc>
          <w:tcPr>
            <w:tcW w:w="995"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焊接</w:t>
            </w:r>
          </w:p>
        </w:tc>
        <w:tc>
          <w:tcPr>
            <w:tcW w:w="2441"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3.0 或卷材破坏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vMerge w:val="continue"/>
          </w:tcPr>
          <w:p>
            <w:pPr>
              <w:numPr>
                <w:ilvl w:val="0"/>
                <w:numId w:val="0"/>
              </w:numPr>
              <w:rPr>
                <w:rFonts w:hint="eastAsia"/>
                <w:b/>
                <w:bCs/>
                <w:sz w:val="21"/>
                <w:szCs w:val="21"/>
                <w:vertAlign w:val="baseline"/>
                <w:lang w:val="en-US" w:eastAsia="zh-CN"/>
              </w:rPr>
            </w:pPr>
          </w:p>
        </w:tc>
        <w:tc>
          <w:tcPr>
            <w:tcW w:w="2112" w:type="dxa"/>
            <w:vMerge w:val="continue"/>
          </w:tcPr>
          <w:p>
            <w:pPr>
              <w:numPr>
                <w:ilvl w:val="0"/>
                <w:numId w:val="0"/>
              </w:numPr>
              <w:rPr>
                <w:rFonts w:hint="eastAsia"/>
                <w:b/>
                <w:bCs/>
                <w:sz w:val="21"/>
                <w:szCs w:val="21"/>
                <w:vertAlign w:val="baseline"/>
                <w:lang w:val="en-US" w:eastAsia="zh-CN"/>
              </w:rPr>
            </w:pPr>
          </w:p>
        </w:tc>
        <w:tc>
          <w:tcPr>
            <w:tcW w:w="4319" w:type="dxa"/>
            <w:gridSpan w:val="3"/>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热老化处理后保持率/％ ≥ </w:t>
            </w:r>
          </w:p>
        </w:tc>
        <w:tc>
          <w:tcPr>
            <w:tcW w:w="2441"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80 或卷材破坏</w:t>
            </w:r>
          </w:p>
        </w:tc>
      </w:tr>
    </w:tbl>
    <w:p>
      <w:pPr>
        <w:numPr>
          <w:ilvl w:val="0"/>
          <w:numId w:val="0"/>
        </w:numPr>
        <w:rPr>
          <w:rFonts w:hint="eastAsia"/>
          <w:b/>
          <w:bCs/>
          <w:sz w:val="28"/>
          <w:szCs w:val="28"/>
          <w:lang w:val="en-US" w:eastAsia="zh-CN"/>
        </w:rPr>
      </w:pPr>
      <w:r>
        <w:rPr>
          <w:rFonts w:hint="eastAsia"/>
          <w:b/>
          <w:bCs/>
          <w:sz w:val="24"/>
          <w:szCs w:val="24"/>
          <w:lang w:val="en-US" w:eastAsia="zh-CN"/>
        </w:rPr>
        <w:t>8.6 装配式建筑密封防水应用技术指标</w:t>
      </w:r>
    </w:p>
    <w:p>
      <w:pPr>
        <w:numPr>
          <w:ilvl w:val="0"/>
          <w:numId w:val="0"/>
        </w:numPr>
        <w:rPr>
          <w:rFonts w:hint="eastAsia"/>
          <w:b w:val="0"/>
          <w:bCs w:val="0"/>
          <w:sz w:val="21"/>
          <w:szCs w:val="21"/>
          <w:lang w:val="en-US" w:eastAsia="zh-CN"/>
        </w:rPr>
      </w:pPr>
      <w:r>
        <w:rPr>
          <w:rFonts w:hint="eastAsia"/>
          <w:b w:val="0"/>
          <w:bCs w:val="0"/>
          <w:sz w:val="21"/>
          <w:szCs w:val="21"/>
          <w:lang w:val="en-US" w:eastAsia="zh-CN"/>
        </w:rPr>
        <w:t>（1）密封胶力学性能指标中位移能力、弹性恢复率及拉伸模量应满足指标要求，试验方法应</w:t>
      </w:r>
    </w:p>
    <w:p>
      <w:pPr>
        <w:numPr>
          <w:ilvl w:val="0"/>
          <w:numId w:val="0"/>
        </w:numPr>
        <w:rPr>
          <w:rFonts w:hint="eastAsia"/>
          <w:b w:val="0"/>
          <w:bCs w:val="0"/>
          <w:sz w:val="21"/>
          <w:szCs w:val="21"/>
          <w:lang w:val="en-US" w:eastAsia="zh-CN"/>
        </w:rPr>
      </w:pPr>
      <w:r>
        <w:rPr>
          <w:rFonts w:hint="eastAsia"/>
          <w:b w:val="0"/>
          <w:bCs w:val="0"/>
          <w:sz w:val="21"/>
          <w:szCs w:val="21"/>
          <w:lang w:val="en-US" w:eastAsia="zh-CN"/>
        </w:rPr>
        <w:t>符合国家现行标准《混凝土建筑接缝用密封胶》JC/T 881、《建筑硅酮密封胶》GB/T 14683 中的</w:t>
      </w:r>
    </w:p>
    <w:p>
      <w:pPr>
        <w:numPr>
          <w:ilvl w:val="0"/>
          <w:numId w:val="0"/>
        </w:numPr>
        <w:rPr>
          <w:rFonts w:hint="eastAsia"/>
          <w:b w:val="0"/>
          <w:bCs w:val="0"/>
          <w:sz w:val="21"/>
          <w:szCs w:val="21"/>
          <w:lang w:val="en-US" w:eastAsia="zh-CN"/>
        </w:rPr>
      </w:pPr>
      <w:r>
        <w:rPr>
          <w:rFonts w:hint="eastAsia"/>
          <w:b w:val="0"/>
          <w:bCs w:val="0"/>
          <w:sz w:val="21"/>
          <w:szCs w:val="21"/>
          <w:lang w:val="en-US" w:eastAsia="zh-CN"/>
        </w:rPr>
        <w:t>要求。</w:t>
      </w:r>
    </w:p>
    <w:p>
      <w:pPr>
        <w:numPr>
          <w:ilvl w:val="0"/>
          <w:numId w:val="0"/>
        </w:numPr>
        <w:rPr>
          <w:rFonts w:hint="eastAsia"/>
          <w:b w:val="0"/>
          <w:bCs w:val="0"/>
          <w:sz w:val="21"/>
          <w:szCs w:val="21"/>
          <w:lang w:val="en-US" w:eastAsia="zh-CN"/>
        </w:rPr>
      </w:pPr>
      <w:r>
        <w:rPr>
          <w:rFonts w:hint="eastAsia"/>
          <w:b w:val="0"/>
          <w:bCs w:val="0"/>
          <w:sz w:val="21"/>
          <w:szCs w:val="21"/>
          <w:lang w:val="en-US" w:eastAsia="zh-CN"/>
        </w:rPr>
        <w:t>（2）密封胶耐久耐候性中的定伸粘结性、浸水后定伸粘结性和冷拉热压后定伸粘结性应满足</w:t>
      </w:r>
    </w:p>
    <w:p>
      <w:pPr>
        <w:numPr>
          <w:ilvl w:val="0"/>
          <w:numId w:val="0"/>
        </w:numPr>
        <w:rPr>
          <w:rFonts w:hint="eastAsia"/>
          <w:b w:val="0"/>
          <w:bCs w:val="0"/>
          <w:sz w:val="21"/>
          <w:szCs w:val="21"/>
          <w:lang w:val="en-US" w:eastAsia="zh-CN"/>
        </w:rPr>
      </w:pPr>
      <w:r>
        <w:rPr>
          <w:rFonts w:hint="eastAsia"/>
          <w:b w:val="0"/>
          <w:bCs w:val="0"/>
          <w:sz w:val="21"/>
          <w:szCs w:val="21"/>
          <w:lang w:val="en-US" w:eastAsia="zh-CN"/>
        </w:rPr>
        <w:t>指标要求，试验方法应符合国家现行标准《混凝土建筑接缝用密封胶》JC/T 881 及《硅酮建筑密</w:t>
      </w:r>
    </w:p>
    <w:p>
      <w:pPr>
        <w:numPr>
          <w:ilvl w:val="0"/>
          <w:numId w:val="0"/>
        </w:numPr>
        <w:rPr>
          <w:rFonts w:hint="eastAsia"/>
          <w:b w:val="0"/>
          <w:bCs w:val="0"/>
          <w:sz w:val="21"/>
          <w:szCs w:val="21"/>
          <w:lang w:val="en-US" w:eastAsia="zh-CN"/>
        </w:rPr>
      </w:pPr>
      <w:r>
        <w:rPr>
          <w:rFonts w:hint="eastAsia"/>
          <w:b w:val="0"/>
          <w:bCs w:val="0"/>
          <w:sz w:val="21"/>
          <w:szCs w:val="21"/>
          <w:lang w:val="en-US" w:eastAsia="zh-CN"/>
        </w:rPr>
        <w:t>封胶》GB/T 146836 的要求。</w:t>
      </w:r>
    </w:p>
    <w:p>
      <w:pPr>
        <w:numPr>
          <w:ilvl w:val="0"/>
          <w:numId w:val="0"/>
        </w:numPr>
        <w:rPr>
          <w:rFonts w:hint="eastAsia"/>
          <w:b w:val="0"/>
          <w:bCs w:val="0"/>
          <w:sz w:val="21"/>
          <w:szCs w:val="21"/>
          <w:lang w:val="en-US" w:eastAsia="zh-CN"/>
        </w:rPr>
      </w:pPr>
      <w:r>
        <w:rPr>
          <w:rFonts w:hint="eastAsia"/>
          <w:b w:val="0"/>
          <w:bCs w:val="0"/>
          <w:sz w:val="21"/>
          <w:szCs w:val="21"/>
          <w:lang w:val="en-US" w:eastAsia="zh-CN"/>
        </w:rPr>
        <w:t>（3）密封胶耐污性应满足指标要求，试验方法可参考《石材用建筑密封胶》GB/T23261 中的</w:t>
      </w:r>
    </w:p>
    <w:p>
      <w:pPr>
        <w:numPr>
          <w:ilvl w:val="0"/>
          <w:numId w:val="0"/>
        </w:numPr>
        <w:rPr>
          <w:rFonts w:hint="eastAsia"/>
          <w:b w:val="0"/>
          <w:bCs w:val="0"/>
          <w:sz w:val="21"/>
          <w:szCs w:val="21"/>
          <w:lang w:val="en-US" w:eastAsia="zh-CN"/>
        </w:rPr>
      </w:pPr>
      <w:r>
        <w:rPr>
          <w:rFonts w:hint="eastAsia"/>
          <w:b w:val="0"/>
          <w:bCs w:val="0"/>
          <w:sz w:val="21"/>
          <w:szCs w:val="21"/>
          <w:lang w:val="en-US" w:eastAsia="zh-CN"/>
        </w:rPr>
        <w:t>方法。</w:t>
      </w:r>
    </w:p>
    <w:p>
      <w:pPr>
        <w:numPr>
          <w:ilvl w:val="0"/>
          <w:numId w:val="2"/>
        </w:numPr>
        <w:ind w:left="0" w:leftChars="0" w:firstLine="0" w:firstLineChars="0"/>
        <w:rPr>
          <w:rFonts w:hint="eastAsia"/>
          <w:b w:val="0"/>
          <w:bCs w:val="0"/>
          <w:sz w:val="21"/>
          <w:szCs w:val="21"/>
          <w:lang w:val="en-US" w:eastAsia="zh-CN"/>
        </w:rPr>
      </w:pPr>
      <w:r>
        <w:rPr>
          <w:rFonts w:hint="eastAsia"/>
          <w:b w:val="0"/>
          <w:bCs w:val="0"/>
          <w:sz w:val="21"/>
          <w:szCs w:val="21"/>
          <w:lang w:val="en-US" w:eastAsia="zh-CN"/>
        </w:rPr>
        <w:t>密封防水的其他材料应符合有关标准的规定。</w:t>
      </w:r>
    </w:p>
    <w:p>
      <w:pPr>
        <w:numPr>
          <w:ilvl w:val="0"/>
          <w:numId w:val="0"/>
        </w:numPr>
        <w:ind w:leftChars="0"/>
        <w:rPr>
          <w:rFonts w:hint="eastAsia"/>
          <w:b/>
          <w:bCs/>
          <w:sz w:val="24"/>
          <w:szCs w:val="24"/>
          <w:lang w:val="en-US" w:eastAsia="zh-CN"/>
        </w:rPr>
      </w:pPr>
      <w:r>
        <w:rPr>
          <w:rFonts w:hint="eastAsia"/>
          <w:b/>
          <w:bCs/>
          <w:sz w:val="24"/>
          <w:szCs w:val="24"/>
          <w:lang w:val="en-US" w:eastAsia="zh-CN"/>
        </w:rPr>
        <w:t>8.7 高性能外墙保温技术</w:t>
      </w:r>
    </w:p>
    <w:p>
      <w:pPr>
        <w:numPr>
          <w:ilvl w:val="0"/>
          <w:numId w:val="0"/>
        </w:numPr>
        <w:ind w:leftChars="0"/>
        <w:rPr>
          <w:rFonts w:hint="eastAsia"/>
          <w:b/>
          <w:bCs/>
          <w:sz w:val="24"/>
          <w:szCs w:val="24"/>
          <w:lang w:val="en-US" w:eastAsia="zh-CN"/>
        </w:rPr>
      </w:pPr>
      <w:r>
        <w:rPr>
          <w:rFonts w:hint="eastAsia"/>
          <w:b/>
          <w:bCs/>
          <w:sz w:val="24"/>
          <w:szCs w:val="24"/>
          <w:lang w:val="en-US" w:eastAsia="zh-CN"/>
        </w:rPr>
        <w:t>8.7.1 石墨聚苯乙烯板外保温技术指标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系统应符合《外墙外保温工程技术规程》JGJ 144 的要求，可参考《模塑聚苯板薄抹灰外墙外保温系统材料》GB/T 29906 中对系统的性能要求</w:t>
      </w:r>
    </w:p>
    <w:p>
      <w:pPr>
        <w:numPr>
          <w:ilvl w:val="0"/>
          <w:numId w:val="0"/>
        </w:numPr>
        <w:ind w:leftChars="0" w:firstLine="2319" w:firstLineChars="1100"/>
        <w:rPr>
          <w:rFonts w:hint="eastAsia"/>
          <w:b/>
          <w:bCs/>
          <w:sz w:val="21"/>
          <w:szCs w:val="21"/>
          <w:lang w:val="en-US" w:eastAsia="zh-CN"/>
        </w:rPr>
      </w:pPr>
      <w:r>
        <w:rPr>
          <w:rFonts w:hint="eastAsia"/>
          <w:b/>
          <w:bCs/>
          <w:sz w:val="21"/>
          <w:szCs w:val="21"/>
          <w:lang w:val="en-US" w:eastAsia="zh-CN"/>
        </w:rPr>
        <w:t>表 8.12 石墨聚苯乙烯板基本性能指标</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2"/>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tabs>
                <w:tab w:val="center" w:pos="2333"/>
              </w:tabs>
              <w:rPr>
                <w:rFonts w:hint="eastAsia" w:eastAsiaTheme="minorEastAsia"/>
                <w:b w:val="0"/>
                <w:bCs w:val="0"/>
                <w:sz w:val="21"/>
                <w:szCs w:val="21"/>
                <w:vertAlign w:val="baseline"/>
                <w:lang w:val="en-US" w:eastAsia="zh-CN"/>
              </w:rPr>
            </w:pPr>
            <w:r>
              <w:rPr>
                <w:rFonts w:hint="eastAsia"/>
              </w:rPr>
              <w:t xml:space="preserve">密度/（kg/m3） </w:t>
            </w:r>
          </w:p>
        </w:tc>
        <w:tc>
          <w:tcPr>
            <w:tcW w:w="4882" w:type="dxa"/>
          </w:tcPr>
          <w:p>
            <w:pPr>
              <w:numPr>
                <w:ilvl w:val="0"/>
                <w:numId w:val="0"/>
              </w:numPr>
              <w:rPr>
                <w:rFonts w:hint="eastAsia"/>
                <w:b w:val="0"/>
                <w:bCs w:val="0"/>
                <w:sz w:val="21"/>
                <w:szCs w:val="21"/>
                <w:vertAlign w:val="baseline"/>
                <w:lang w:val="en-US" w:eastAsia="zh-CN"/>
              </w:rPr>
            </w:pPr>
            <w:r>
              <w:rPr>
                <w:rFonts w:hint="eastAsia"/>
              </w:rPr>
              <w:t xml:space="preserv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rPr>
              <w:t>压缩强度(10%变形)/ kPa</w:t>
            </w:r>
          </w:p>
        </w:tc>
        <w:tc>
          <w:tcPr>
            <w:tcW w:w="4882" w:type="dxa"/>
          </w:tcPr>
          <w:p>
            <w:pPr>
              <w:numPr>
                <w:ilvl w:val="0"/>
                <w:numId w:val="0"/>
              </w:numPr>
              <w:rPr>
                <w:rFonts w:hint="eastAsia"/>
                <w:b w:val="0"/>
                <w:bCs w:val="0"/>
                <w:sz w:val="21"/>
                <w:szCs w:val="21"/>
                <w:vertAlign w:val="baseline"/>
                <w:lang w:val="en-US" w:eastAsia="zh-CN"/>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rPr>
              <w:t xml:space="preserve">导热系数/（W/(m·K)） </w:t>
            </w:r>
          </w:p>
        </w:tc>
        <w:tc>
          <w:tcPr>
            <w:tcW w:w="4882" w:type="dxa"/>
          </w:tcPr>
          <w:p>
            <w:pPr>
              <w:numPr>
                <w:ilvl w:val="0"/>
                <w:numId w:val="0"/>
              </w:numPr>
              <w:rPr>
                <w:rFonts w:hint="eastAsia"/>
                <w:b w:val="0"/>
                <w:bCs w:val="0"/>
                <w:sz w:val="21"/>
                <w:szCs w:val="21"/>
                <w:vertAlign w:val="baseline"/>
                <w:lang w:val="en-US" w:eastAsia="zh-CN"/>
              </w:rPr>
            </w:pPr>
            <w:r>
              <w:rPr>
                <w:rFonts w:hint="eastAsia"/>
              </w:rPr>
              <w:t xml:space="preserve"> ≤0.033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rPr>
              <w:t xml:space="preserve">燃烧性能等级 </w:t>
            </w:r>
          </w:p>
        </w:tc>
        <w:tc>
          <w:tcPr>
            <w:tcW w:w="4882" w:type="dxa"/>
          </w:tcPr>
          <w:p>
            <w:pPr>
              <w:numPr>
                <w:ilvl w:val="0"/>
                <w:numId w:val="0"/>
              </w:numPr>
              <w:rPr>
                <w:rFonts w:hint="eastAsia"/>
                <w:b w:val="0"/>
                <w:bCs w:val="0"/>
                <w:sz w:val="21"/>
                <w:szCs w:val="21"/>
                <w:vertAlign w:val="baseline"/>
                <w:lang w:val="en-US" w:eastAsia="zh-CN"/>
              </w:rPr>
            </w:pPr>
            <w:r>
              <w:rPr>
                <w:rFonts w:hint="eastAsia"/>
              </w:rPr>
              <w:t xml:space="preserve"> B1 级</w:t>
            </w:r>
          </w:p>
        </w:tc>
      </w:tr>
    </w:tbl>
    <w:p>
      <w:pPr>
        <w:numPr>
          <w:ilvl w:val="0"/>
          <w:numId w:val="0"/>
        </w:numPr>
        <w:rPr>
          <w:rFonts w:hint="eastAsia"/>
          <w:b/>
          <w:bCs/>
          <w:sz w:val="24"/>
          <w:szCs w:val="24"/>
          <w:lang w:val="en-US" w:eastAsia="zh-CN"/>
        </w:rPr>
      </w:pPr>
      <w:r>
        <w:rPr>
          <w:rFonts w:hint="eastAsia"/>
          <w:b/>
          <w:bCs/>
          <w:sz w:val="24"/>
          <w:szCs w:val="24"/>
          <w:lang w:val="en-US" w:eastAsia="zh-CN"/>
        </w:rPr>
        <w:t>8.7.2 硬泡聚氨酯板外保温技术指标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聚氨酯外保温系统应符合《外墙外保温工程技术规程》JGJ144、《硬泡聚氨酯保温防水工程技术规范》GB 50404、《硬泡聚氨酯板薄抹灰外墙外保温系统材料》JGT 420、《膨胀聚苯板薄抹灰外墙外保温系统》JG149 的相关要求。</w:t>
      </w:r>
    </w:p>
    <w:p>
      <w:pPr>
        <w:numPr>
          <w:ilvl w:val="0"/>
          <w:numId w:val="0"/>
        </w:numPr>
        <w:ind w:firstLine="2108" w:firstLineChars="1000"/>
        <w:rPr>
          <w:rFonts w:hint="eastAsia"/>
          <w:b/>
          <w:bCs/>
          <w:sz w:val="21"/>
          <w:szCs w:val="21"/>
          <w:lang w:val="en-US" w:eastAsia="zh-CN"/>
        </w:rPr>
      </w:pPr>
      <w:r>
        <w:rPr>
          <w:rFonts w:hint="eastAsia"/>
          <w:b/>
          <w:bCs/>
          <w:sz w:val="21"/>
          <w:szCs w:val="21"/>
          <w:lang w:val="en-US" w:eastAsia="zh-CN"/>
        </w:rPr>
        <w:t>表 8.13 硬泡聚氨酯板外保温系统性能指标</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6" w:type="dxa"/>
          </w:tcPr>
          <w:p>
            <w:pPr>
              <w:numPr>
                <w:ilvl w:val="0"/>
                <w:numId w:val="0"/>
              </w:numPr>
              <w:ind w:firstLine="420" w:firstLineChars="200"/>
              <w:rPr>
                <w:rFonts w:hint="eastAsia"/>
                <w:b w:val="0"/>
                <w:bCs w:val="0"/>
                <w:sz w:val="21"/>
                <w:szCs w:val="21"/>
                <w:vertAlign w:val="baseline"/>
                <w:lang w:val="en-US" w:eastAsia="zh-CN"/>
              </w:rPr>
            </w:pPr>
            <w:r>
              <w:rPr>
                <w:rFonts w:hint="eastAsia"/>
                <w:b w:val="0"/>
                <w:bCs w:val="0"/>
                <w:sz w:val="21"/>
                <w:szCs w:val="21"/>
                <w:lang w:val="en-US" w:eastAsia="zh-CN"/>
              </w:rPr>
              <w:t>项目</w:t>
            </w:r>
          </w:p>
        </w:tc>
        <w:tc>
          <w:tcPr>
            <w:tcW w:w="7288" w:type="dxa"/>
          </w:tcPr>
          <w:p>
            <w:pPr>
              <w:numPr>
                <w:ilvl w:val="0"/>
                <w:numId w:val="0"/>
              </w:numPr>
              <w:ind w:firstLine="840" w:firstLineChars="400"/>
              <w:rPr>
                <w:rFonts w:hint="eastAsia"/>
                <w:b w:val="0"/>
                <w:bCs w:val="0"/>
                <w:sz w:val="21"/>
                <w:szCs w:val="21"/>
                <w:vertAlign w:val="baseline"/>
                <w:lang w:val="en-US" w:eastAsia="zh-CN"/>
              </w:rPr>
            </w:pPr>
            <w:r>
              <w:rPr>
                <w:rFonts w:hint="eastAsia"/>
                <w:b w:val="0"/>
                <w:bCs w:val="0"/>
                <w:sz w:val="21"/>
                <w:szCs w:val="21"/>
                <w:vertAlign w:val="baseline"/>
                <w:lang w:val="en-US" w:eastAsia="zh-CN"/>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6"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抗风压值 </w:t>
            </w:r>
          </w:p>
        </w:tc>
        <w:tc>
          <w:tcPr>
            <w:tcW w:w="728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系统抗风压值不小于工程项目的风荷载设计值，且安全系数 K 值不小于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6"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抗冲击强度</w:t>
            </w:r>
          </w:p>
          <w:p>
            <w:pPr>
              <w:numPr>
                <w:ilvl w:val="0"/>
                <w:numId w:val="0"/>
              </w:numPr>
              <w:rPr>
                <w:rFonts w:hint="eastAsia"/>
                <w:b w:val="0"/>
                <w:bCs w:val="0"/>
                <w:sz w:val="21"/>
                <w:szCs w:val="21"/>
                <w:vertAlign w:val="baseline"/>
                <w:lang w:val="en-US" w:eastAsia="zh-CN"/>
              </w:rPr>
            </w:pPr>
          </w:p>
        </w:tc>
        <w:tc>
          <w:tcPr>
            <w:tcW w:w="728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建筑物首层墙面以及门窗口等易受碰撞部位：≥10J 级；建筑物二层以上墙面等部位：≥3J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6"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吸水量（浸水 1h）/g/m</w:t>
            </w:r>
            <w:r>
              <w:rPr>
                <w:rFonts w:hint="eastAsia"/>
                <w:b w:val="0"/>
                <w:bCs w:val="0"/>
                <w:sz w:val="15"/>
                <w:szCs w:val="15"/>
                <w:vertAlign w:val="baseline"/>
                <w:lang w:val="en-US" w:eastAsia="zh-CN"/>
              </w:rPr>
              <w:t>2</w:t>
            </w:r>
            <w:r>
              <w:rPr>
                <w:rFonts w:hint="eastAsia"/>
                <w:b w:val="0"/>
                <w:bCs w:val="0"/>
                <w:sz w:val="21"/>
                <w:szCs w:val="21"/>
                <w:vertAlign w:val="baseline"/>
                <w:lang w:val="en-US" w:eastAsia="zh-CN"/>
              </w:rPr>
              <w:t xml:space="preserve"> </w:t>
            </w:r>
          </w:p>
        </w:tc>
        <w:tc>
          <w:tcPr>
            <w:tcW w:w="728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6"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耐冻融性能</w:t>
            </w:r>
          </w:p>
          <w:p>
            <w:pPr>
              <w:numPr>
                <w:ilvl w:val="0"/>
                <w:numId w:val="0"/>
              </w:numPr>
              <w:rPr>
                <w:rFonts w:hint="eastAsia"/>
                <w:b w:val="0"/>
                <w:bCs w:val="0"/>
                <w:sz w:val="21"/>
                <w:szCs w:val="21"/>
                <w:vertAlign w:val="baseline"/>
                <w:lang w:val="en-US" w:eastAsia="zh-CN"/>
              </w:rPr>
            </w:pPr>
          </w:p>
        </w:tc>
        <w:tc>
          <w:tcPr>
            <w:tcW w:w="728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30 次冻融循环后，抹面层无裂纹、空鼓、脱落现象； 保护层与保温层拉伸</w:t>
            </w:r>
          </w:p>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粘结强度不小于 0.1MPa，破坏部位应位于保温层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6"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耐候性</w:t>
            </w:r>
          </w:p>
          <w:p>
            <w:pPr>
              <w:numPr>
                <w:ilvl w:val="0"/>
                <w:numId w:val="0"/>
              </w:numPr>
              <w:rPr>
                <w:rFonts w:hint="eastAsia"/>
                <w:b w:val="0"/>
                <w:bCs w:val="0"/>
                <w:sz w:val="21"/>
                <w:szCs w:val="21"/>
                <w:vertAlign w:val="baseline"/>
                <w:lang w:val="en-US" w:eastAsia="zh-CN"/>
              </w:rPr>
            </w:pPr>
          </w:p>
        </w:tc>
        <w:tc>
          <w:tcPr>
            <w:tcW w:w="728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经 80 次高温（70℃）-淋水（15℃）循环和 5 次加热（50℃）-冷冻（-20℃）</w:t>
            </w:r>
          </w:p>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循环后，无饰面层起泡或剥落、保护层空鼓或脱落，无产生渗水裂缝</w:t>
            </w:r>
          </w:p>
        </w:tc>
      </w:tr>
    </w:tbl>
    <w:p>
      <w:pPr>
        <w:numPr>
          <w:ilvl w:val="0"/>
          <w:numId w:val="0"/>
        </w:numPr>
        <w:rPr>
          <w:rFonts w:hint="eastAsia"/>
          <w:b/>
          <w:bCs/>
          <w:sz w:val="24"/>
          <w:szCs w:val="24"/>
          <w:lang w:val="en-US" w:eastAsia="zh-CN"/>
        </w:rPr>
      </w:pPr>
      <w:r>
        <w:rPr>
          <w:rFonts w:hint="eastAsia"/>
          <w:b/>
          <w:bCs/>
          <w:sz w:val="24"/>
          <w:szCs w:val="24"/>
          <w:lang w:val="en-US" w:eastAsia="zh-CN"/>
        </w:rPr>
        <w:t>8.8 高效外墙自保温技术指标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主要技术性能参见表 8.14，其他技术性能参见《蒸压加气混凝土砌块》GB/T11968、《蒸压加气混凝土应用技术规程》JGJ17 和《烧结多孔砖和多孔砌块》GB13544 的标准要求； 节能设计参见《公共建筑节能设计标准》GB50189、《夏热冬冷地区居住建筑节能设计标准》JGJ134、《夏热冬暖地区居住建筑节能设计标准》JGJ75 等标准的要求，同时需满足各地地方标准要求。</w:t>
      </w:r>
    </w:p>
    <w:p>
      <w:pPr>
        <w:numPr>
          <w:ilvl w:val="0"/>
          <w:numId w:val="0"/>
        </w:numPr>
        <w:ind w:firstLine="2108" w:firstLineChars="1000"/>
        <w:rPr>
          <w:rFonts w:hint="eastAsia"/>
          <w:b/>
          <w:bCs/>
          <w:sz w:val="21"/>
          <w:szCs w:val="21"/>
          <w:lang w:val="en-US" w:eastAsia="zh-CN"/>
        </w:rPr>
      </w:pPr>
      <w:r>
        <w:rPr>
          <w:rFonts w:hint="eastAsia"/>
          <w:b/>
          <w:bCs/>
          <w:sz w:val="21"/>
          <w:szCs w:val="21"/>
          <w:lang w:val="en-US" w:eastAsia="zh-CN"/>
        </w:rPr>
        <w:t>表 8.14 自保温体系的墙体材料技术指标</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2"/>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ind w:firstLine="1470" w:firstLineChars="700"/>
              <w:rPr>
                <w:rFonts w:hint="eastAsia"/>
                <w:b w:val="0"/>
                <w:bCs w:val="0"/>
                <w:sz w:val="21"/>
                <w:szCs w:val="21"/>
                <w:vertAlign w:val="baseline"/>
                <w:lang w:val="en-US" w:eastAsia="zh-CN"/>
              </w:rPr>
            </w:pPr>
            <w:r>
              <w:rPr>
                <w:rFonts w:hint="eastAsia"/>
                <w:b w:val="0"/>
                <w:bCs w:val="0"/>
                <w:sz w:val="21"/>
                <w:szCs w:val="21"/>
                <w:lang w:val="en-US" w:eastAsia="zh-CN"/>
              </w:rPr>
              <w:t>项目</w:t>
            </w:r>
          </w:p>
        </w:tc>
        <w:tc>
          <w:tcPr>
            <w:tcW w:w="4882" w:type="dxa"/>
          </w:tcPr>
          <w:p>
            <w:pPr>
              <w:numPr>
                <w:ilvl w:val="0"/>
                <w:numId w:val="0"/>
              </w:numPr>
              <w:ind w:firstLine="1260" w:firstLineChars="600"/>
              <w:rPr>
                <w:rFonts w:hint="eastAsia"/>
                <w:b w:val="0"/>
                <w:bCs w:val="0"/>
                <w:sz w:val="21"/>
                <w:szCs w:val="21"/>
                <w:vertAlign w:val="baseline"/>
                <w:lang w:val="en-US" w:eastAsia="zh-CN"/>
              </w:rPr>
            </w:pPr>
            <w:r>
              <w:rPr>
                <w:rFonts w:hint="eastAsia"/>
                <w:b w:val="0"/>
                <w:bCs w:val="0"/>
                <w:sz w:val="21"/>
                <w:szCs w:val="21"/>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rPr>
              <w:t>干体积密度/kg/m</w:t>
            </w:r>
            <w:r>
              <w:rPr>
                <w:rFonts w:hint="eastAsia"/>
                <w:sz w:val="18"/>
                <w:szCs w:val="18"/>
              </w:rPr>
              <w:t>3</w:t>
            </w:r>
            <w:r>
              <w:rPr>
                <w:rFonts w:hint="eastAsia"/>
              </w:rPr>
              <w:t xml:space="preserve"> </w:t>
            </w:r>
          </w:p>
        </w:tc>
        <w:tc>
          <w:tcPr>
            <w:tcW w:w="4882" w:type="dxa"/>
          </w:tcPr>
          <w:p>
            <w:pPr>
              <w:numPr>
                <w:ilvl w:val="0"/>
                <w:numId w:val="0"/>
              </w:numPr>
              <w:rPr>
                <w:rFonts w:hint="eastAsia"/>
                <w:b w:val="0"/>
                <w:bCs w:val="0"/>
                <w:sz w:val="21"/>
                <w:szCs w:val="21"/>
                <w:vertAlign w:val="baseline"/>
                <w:lang w:val="en-US" w:eastAsia="zh-CN"/>
              </w:rPr>
            </w:pPr>
            <w:r>
              <w:rPr>
                <w:rFonts w:hint="eastAsia"/>
              </w:rPr>
              <w:t xml:space="preserve"> 425~825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rPr>
              <w:t xml:space="preserve">抗压强度/MPa </w:t>
            </w:r>
          </w:p>
        </w:tc>
        <w:tc>
          <w:tcPr>
            <w:tcW w:w="4882" w:type="dxa"/>
          </w:tcPr>
          <w:p>
            <w:pPr>
              <w:numPr>
                <w:ilvl w:val="0"/>
                <w:numId w:val="0"/>
              </w:numPr>
              <w:rPr>
                <w:rFonts w:hint="eastAsia"/>
                <w:b w:val="0"/>
                <w:bCs w:val="0"/>
                <w:sz w:val="21"/>
                <w:szCs w:val="21"/>
                <w:vertAlign w:val="baseline"/>
                <w:lang w:val="en-US" w:eastAsia="zh-CN"/>
              </w:rPr>
            </w:pPr>
            <w:r>
              <w:rPr>
                <w:rFonts w:hint="eastAsia"/>
              </w:rPr>
              <w:t>≥3.5，且符合对应标准等级的抗压强度要求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rPr>
              <w:t xml:space="preserve">导热系数（W/m·K） </w:t>
            </w:r>
          </w:p>
        </w:tc>
        <w:tc>
          <w:tcPr>
            <w:tcW w:w="4882" w:type="dxa"/>
          </w:tcPr>
          <w:p>
            <w:pPr>
              <w:numPr>
                <w:ilvl w:val="0"/>
                <w:numId w:val="0"/>
              </w:numPr>
              <w:rPr>
                <w:rFonts w:hint="eastAsia"/>
                <w:b w:val="0"/>
                <w:bCs w:val="0"/>
                <w:sz w:val="21"/>
                <w:szCs w:val="21"/>
                <w:vertAlign w:val="baseline"/>
                <w:lang w:val="en-US" w:eastAsia="zh-CN"/>
              </w:rPr>
            </w:pPr>
            <w:r>
              <w:rPr>
                <w:rFonts w:hint="eastAsia"/>
              </w:rPr>
              <w:t xml:space="preserve">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8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体积吸水率/% </w:t>
            </w:r>
          </w:p>
        </w:tc>
        <w:tc>
          <w:tcPr>
            <w:tcW w:w="488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15~25</w:t>
            </w:r>
          </w:p>
        </w:tc>
      </w:tr>
    </w:tbl>
    <w:p>
      <w:pPr>
        <w:numPr>
          <w:ilvl w:val="0"/>
          <w:numId w:val="0"/>
        </w:numPr>
        <w:rPr>
          <w:rFonts w:hint="eastAsia"/>
          <w:b/>
          <w:bCs/>
          <w:sz w:val="24"/>
          <w:szCs w:val="24"/>
          <w:lang w:val="en-US" w:eastAsia="zh-CN"/>
        </w:rPr>
      </w:pPr>
      <w:r>
        <w:rPr>
          <w:rFonts w:hint="eastAsia"/>
          <w:b/>
          <w:bCs/>
          <w:sz w:val="24"/>
          <w:szCs w:val="24"/>
          <w:lang w:val="en-US" w:eastAsia="zh-CN"/>
        </w:rPr>
        <w:t>8.9 高性能门窗技术</w:t>
      </w:r>
    </w:p>
    <w:p>
      <w:pPr>
        <w:numPr>
          <w:ilvl w:val="0"/>
          <w:numId w:val="0"/>
        </w:numPr>
        <w:rPr>
          <w:rFonts w:hint="eastAsia"/>
          <w:b/>
          <w:bCs/>
          <w:sz w:val="24"/>
          <w:szCs w:val="24"/>
          <w:lang w:val="en-US" w:eastAsia="zh-CN"/>
        </w:rPr>
      </w:pPr>
      <w:r>
        <w:rPr>
          <w:rFonts w:hint="eastAsia"/>
          <w:b/>
          <w:bCs/>
          <w:sz w:val="24"/>
          <w:szCs w:val="24"/>
          <w:lang w:val="en-US" w:eastAsia="zh-CN"/>
        </w:rPr>
        <w:t>8.9.1 高性能保温门窗指标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公共建筑使用的门窗的传热系数应符合《公共建筑节能设计标准》GB50189 的规定，其限值不得大于标准中表 3.4.1-3 的规定。</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居住建筑使用的门窗按所在气候区的不同，其传热系数应相应符合《严寒和寒冷地区居住建筑节能设计标准》JGJ26、《夏热冬暖地区居住建筑节能设计标准》JGJ75 和《夏热冬冷地区居住建筑节能设计标准》JGJ134 的规定，不应高于门窗的最大限值要求。</w:t>
      </w:r>
    </w:p>
    <w:p>
      <w:pPr>
        <w:numPr>
          <w:ilvl w:val="0"/>
          <w:numId w:val="0"/>
        </w:numPr>
        <w:rPr>
          <w:rFonts w:hint="eastAsia"/>
          <w:b/>
          <w:bCs/>
          <w:sz w:val="24"/>
          <w:szCs w:val="24"/>
          <w:lang w:val="en-US" w:eastAsia="zh-CN"/>
        </w:rPr>
      </w:pPr>
      <w:r>
        <w:rPr>
          <w:rFonts w:hint="eastAsia"/>
          <w:b/>
          <w:bCs/>
          <w:sz w:val="24"/>
          <w:szCs w:val="24"/>
          <w:lang w:val="en-US" w:eastAsia="zh-CN"/>
        </w:rPr>
        <w:t>8.9.2 耐火节能窗指标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高层建筑耐火节能窗的耐火完整性按照《镶玻璃构件耐火试验方法》GB/T12513 试验，其耐火完整性不小于 0.5h。</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按照《建筑外门窗保温性能分级及检测方法》GB/T8484 的规定进行试验，其传热系数可以满足工程设计要求。</w:t>
      </w:r>
    </w:p>
    <w:p>
      <w:pPr>
        <w:numPr>
          <w:ilvl w:val="0"/>
          <w:numId w:val="0"/>
        </w:numPr>
        <w:rPr>
          <w:rFonts w:hint="eastAsia"/>
          <w:b/>
          <w:bCs/>
          <w:sz w:val="24"/>
          <w:szCs w:val="24"/>
          <w:lang w:val="en-US" w:eastAsia="zh-CN"/>
        </w:rPr>
      </w:pPr>
      <w:r>
        <w:rPr>
          <w:rFonts w:hint="eastAsia"/>
          <w:b/>
          <w:bCs/>
          <w:sz w:val="24"/>
          <w:szCs w:val="24"/>
          <w:lang w:val="en-US" w:eastAsia="zh-CN"/>
        </w:rPr>
        <w:t>8.10 一体化遮阳窗指标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影响一体化遮阳窗性能的指标有操作力性能、机械耐久性能、抗风压性能、水密性能、气密性能、隔声性能、遮阳系数（表 8.15）、传热系数（表 8.16）、耐雪荷载性能等详见《建筑一体化遮阳窗》JG/T 500，施工时应符合《建筑遮阳工程技术规范》JGJ237。</w:t>
      </w:r>
    </w:p>
    <w:p>
      <w:pPr>
        <w:numPr>
          <w:ilvl w:val="0"/>
          <w:numId w:val="0"/>
        </w:numPr>
        <w:ind w:firstLine="3584" w:firstLineChars="1700"/>
        <w:rPr>
          <w:rFonts w:hint="eastAsia"/>
          <w:b/>
          <w:bCs/>
          <w:sz w:val="21"/>
          <w:szCs w:val="21"/>
          <w:lang w:val="en-US" w:eastAsia="zh-CN"/>
        </w:rPr>
      </w:pPr>
      <w:r>
        <w:rPr>
          <w:rFonts w:hint="eastAsia"/>
          <w:b/>
          <w:bCs/>
          <w:sz w:val="21"/>
          <w:szCs w:val="21"/>
          <w:lang w:val="en-US" w:eastAsia="zh-CN"/>
        </w:rPr>
        <w:t>表 8.15 遮阳性能分级</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2772"/>
        <w:gridCol w:w="2723"/>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分级 </w:t>
            </w:r>
          </w:p>
        </w:tc>
        <w:tc>
          <w:tcPr>
            <w:tcW w:w="277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w:t>
            </w:r>
          </w:p>
        </w:tc>
        <w:tc>
          <w:tcPr>
            <w:tcW w:w="272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指标值 </w:t>
            </w:r>
          </w:p>
        </w:tc>
        <w:tc>
          <w:tcPr>
            <w:tcW w:w="277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0.6＜SC≤0.7 </w:t>
            </w:r>
          </w:p>
        </w:tc>
        <w:tc>
          <w:tcPr>
            <w:tcW w:w="272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0.5＜SC≤0.6 5</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0.4＜SC≤0.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分级</w:t>
            </w:r>
          </w:p>
        </w:tc>
        <w:tc>
          <w:tcPr>
            <w:tcW w:w="277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5</w:t>
            </w:r>
          </w:p>
        </w:tc>
        <w:tc>
          <w:tcPr>
            <w:tcW w:w="272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6</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指标值</w:t>
            </w:r>
          </w:p>
        </w:tc>
        <w:tc>
          <w:tcPr>
            <w:tcW w:w="277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0.3＜SC≤0.4 </w:t>
            </w:r>
          </w:p>
        </w:tc>
        <w:tc>
          <w:tcPr>
            <w:tcW w:w="272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0.2＜SC≤0.3 </w:t>
            </w:r>
          </w:p>
        </w:tc>
        <w:tc>
          <w:tcPr>
            <w:tcW w:w="2441"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SC≤0.2</w:t>
            </w:r>
          </w:p>
        </w:tc>
      </w:tr>
    </w:tbl>
    <w:p>
      <w:pPr>
        <w:numPr>
          <w:ilvl w:val="0"/>
          <w:numId w:val="0"/>
        </w:numPr>
        <w:rPr>
          <w:rFonts w:hint="eastAsia"/>
          <w:b/>
          <w:bCs/>
          <w:sz w:val="21"/>
          <w:szCs w:val="21"/>
          <w:lang w:val="en-US" w:eastAsia="zh-CN"/>
        </w:rPr>
      </w:pPr>
      <w:r>
        <w:rPr>
          <w:rFonts w:hint="eastAsia"/>
          <w:b/>
          <w:bCs/>
          <w:sz w:val="21"/>
          <w:szCs w:val="21"/>
          <w:lang w:val="en-US" w:eastAsia="zh-CN"/>
        </w:rPr>
        <w:t>注：一体化遮阳窗遮阳性能以遮阳部件收回、伸展状态下遮阳系数 SC 表示。</w:t>
      </w:r>
    </w:p>
    <w:p>
      <w:pPr>
        <w:numPr>
          <w:ilvl w:val="0"/>
          <w:numId w:val="0"/>
        </w:numPr>
        <w:ind w:firstLine="3584" w:firstLineChars="1700"/>
        <w:rPr>
          <w:rFonts w:hint="eastAsia"/>
          <w:b/>
          <w:bCs/>
          <w:sz w:val="21"/>
          <w:szCs w:val="21"/>
          <w:lang w:val="en-US" w:eastAsia="zh-CN"/>
        </w:rPr>
      </w:pPr>
      <w:r>
        <w:rPr>
          <w:rFonts w:hint="eastAsia"/>
          <w:b/>
          <w:bCs/>
          <w:sz w:val="21"/>
          <w:szCs w:val="21"/>
          <w:lang w:val="en-US" w:eastAsia="zh-CN"/>
        </w:rPr>
        <w:t>表 8.16 传热系数分级</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627"/>
        <w:gridCol w:w="1627"/>
        <w:gridCol w:w="1627"/>
        <w:gridCol w:w="162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分级</w:t>
            </w:r>
          </w:p>
        </w:tc>
        <w:tc>
          <w:tcPr>
            <w:tcW w:w="1627"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w:t>
            </w:r>
          </w:p>
        </w:tc>
        <w:tc>
          <w:tcPr>
            <w:tcW w:w="1627"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w:t>
            </w:r>
          </w:p>
        </w:tc>
        <w:tc>
          <w:tcPr>
            <w:tcW w:w="1627"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w:t>
            </w:r>
          </w:p>
        </w:tc>
        <w:tc>
          <w:tcPr>
            <w:tcW w:w="16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4</w:t>
            </w:r>
          </w:p>
        </w:tc>
        <w:tc>
          <w:tcPr>
            <w:tcW w:w="16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分级指标值/[W/（m2·K）]    </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K≥5.0 </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5.0＞K≥4.0</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4.0＞K≥3.5</w:t>
            </w:r>
          </w:p>
        </w:tc>
        <w:tc>
          <w:tcPr>
            <w:tcW w:w="1628"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3.5＞K≥3.0</w:t>
            </w:r>
          </w:p>
        </w:tc>
        <w:tc>
          <w:tcPr>
            <w:tcW w:w="1628"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3.0＞K≥2.5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lang w:val="en-US" w:eastAsia="zh-CN"/>
              </w:rPr>
              <w:t>分级</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6</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7</w:t>
            </w:r>
          </w:p>
        </w:tc>
        <w:tc>
          <w:tcPr>
            <w:tcW w:w="1627"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8</w:t>
            </w:r>
          </w:p>
        </w:tc>
        <w:tc>
          <w:tcPr>
            <w:tcW w:w="16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9</w:t>
            </w:r>
          </w:p>
        </w:tc>
        <w:tc>
          <w:tcPr>
            <w:tcW w:w="1628"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分级指标值/[W/（m2·K）]    </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2.5＞K≥2.0</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2.0＞K≥1.6</w:t>
            </w:r>
          </w:p>
        </w:tc>
        <w:tc>
          <w:tcPr>
            <w:tcW w:w="1627"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 xml:space="preserve">1.6＞K≥1.3 </w:t>
            </w:r>
          </w:p>
        </w:tc>
        <w:tc>
          <w:tcPr>
            <w:tcW w:w="1628"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1.3＞K≥1.1</w:t>
            </w:r>
          </w:p>
        </w:tc>
        <w:tc>
          <w:tcPr>
            <w:tcW w:w="1628" w:type="dxa"/>
          </w:tcPr>
          <w:p>
            <w:pPr>
              <w:numPr>
                <w:ilvl w:val="0"/>
                <w:numId w:val="0"/>
              </w:numPr>
              <w:rPr>
                <w:rFonts w:hint="eastAsia"/>
                <w:b/>
                <w:bCs/>
                <w:sz w:val="21"/>
                <w:szCs w:val="21"/>
                <w:vertAlign w:val="baseline"/>
                <w:lang w:val="en-US" w:eastAsia="zh-CN"/>
              </w:rPr>
            </w:pPr>
            <w:r>
              <w:rPr>
                <w:rFonts w:hint="eastAsia"/>
                <w:b w:val="0"/>
                <w:bCs w:val="0"/>
                <w:sz w:val="21"/>
                <w:szCs w:val="21"/>
                <w:vertAlign w:val="baseline"/>
                <w:lang w:val="en-US" w:eastAsia="zh-CN"/>
              </w:rPr>
              <w:t>K＜1.1</w:t>
            </w:r>
          </w:p>
        </w:tc>
      </w:tr>
    </w:tbl>
    <w:p>
      <w:pPr>
        <w:numPr>
          <w:ilvl w:val="0"/>
          <w:numId w:val="0"/>
        </w:numPr>
        <w:rPr>
          <w:rFonts w:hint="eastAsia"/>
          <w:b/>
          <w:bCs/>
          <w:sz w:val="21"/>
          <w:szCs w:val="21"/>
          <w:lang w:val="en-US" w:eastAsia="zh-CN"/>
        </w:rPr>
      </w:pPr>
      <w:r>
        <w:rPr>
          <w:rFonts w:hint="eastAsia"/>
          <w:b/>
          <w:bCs/>
          <w:sz w:val="21"/>
          <w:szCs w:val="21"/>
          <w:lang w:val="en-US" w:eastAsia="zh-CN"/>
        </w:rPr>
        <w:t>注：一体化遮阳窗保温性能以遮阳部件收回、伸展状态下窗传热系数 K 值表示。</w:t>
      </w:r>
    </w:p>
    <w:p>
      <w:pPr>
        <w:numPr>
          <w:ilvl w:val="0"/>
          <w:numId w:val="3"/>
        </w:numPr>
        <w:ind w:left="0" w:leftChars="0" w:firstLine="0" w:firstLineChars="0"/>
        <w:rPr>
          <w:rFonts w:hint="eastAsia"/>
          <w:b/>
          <w:bCs/>
          <w:sz w:val="32"/>
          <w:szCs w:val="32"/>
          <w:lang w:val="en-US" w:eastAsia="zh-CN"/>
        </w:rPr>
      </w:pPr>
      <w:r>
        <w:rPr>
          <w:rFonts w:hint="eastAsia"/>
          <w:b/>
          <w:bCs/>
          <w:sz w:val="32"/>
          <w:szCs w:val="32"/>
          <w:lang w:val="en-US" w:eastAsia="zh-CN"/>
        </w:rPr>
        <w:t>抗震、加固与监测技术</w:t>
      </w:r>
    </w:p>
    <w:p>
      <w:pPr>
        <w:numPr>
          <w:ilvl w:val="0"/>
          <w:numId w:val="0"/>
        </w:numPr>
        <w:ind w:leftChars="0"/>
        <w:rPr>
          <w:rFonts w:hint="eastAsia"/>
          <w:b/>
          <w:bCs/>
          <w:sz w:val="24"/>
          <w:szCs w:val="24"/>
          <w:lang w:val="en-US" w:eastAsia="zh-CN"/>
        </w:rPr>
      </w:pPr>
      <w:r>
        <w:rPr>
          <w:rFonts w:hint="eastAsia"/>
          <w:b/>
          <w:bCs/>
          <w:sz w:val="24"/>
          <w:szCs w:val="24"/>
          <w:lang w:val="en-US" w:eastAsia="zh-CN"/>
        </w:rPr>
        <w:t>9.1 消能减震技术指标</w:t>
      </w:r>
    </w:p>
    <w:p>
      <w:pPr>
        <w:numPr>
          <w:ilvl w:val="0"/>
          <w:numId w:val="0"/>
        </w:numPr>
        <w:ind w:leftChars="0" w:firstLine="240" w:firstLineChars="100"/>
        <w:rPr>
          <w:rFonts w:hint="eastAsia"/>
          <w:b w:val="0"/>
          <w:bCs w:val="0"/>
          <w:sz w:val="24"/>
          <w:szCs w:val="24"/>
          <w:lang w:val="en-US" w:eastAsia="zh-CN"/>
        </w:rPr>
      </w:pPr>
      <w:r>
        <w:rPr>
          <w:rFonts w:hint="eastAsia"/>
          <w:b w:val="0"/>
          <w:bCs w:val="0"/>
          <w:sz w:val="24"/>
          <w:szCs w:val="24"/>
          <w:lang w:val="en-US" w:eastAsia="zh-CN"/>
        </w:rPr>
        <w:t>建筑结构消能减震设计方案，应根据建筑抗震设防类别、抗震设防烈度、场地条件、建筑结构方案和建筑使用要求，与采用抗震设计的设计方案进行技术和经济可行性的对比分析后确定。采用消能减震技术结构体系的设计、施工、验收和维护应按现行国家标准《建筑抗震设计规范》GB 50011 和《建筑消能建筑技术规程》JGJ 297 进行，设计安装做法可参考国家建筑标准设计图集《建筑结构消能减震(振)设计》09SG610-2，其产品应符合现行行业标准《建筑消能阻尼器》JG/T 209的规定。</w:t>
      </w:r>
    </w:p>
    <w:p>
      <w:pPr>
        <w:numPr>
          <w:ilvl w:val="0"/>
          <w:numId w:val="0"/>
        </w:numPr>
        <w:rPr>
          <w:rFonts w:hint="eastAsia"/>
          <w:b/>
          <w:bCs/>
          <w:sz w:val="24"/>
          <w:szCs w:val="24"/>
          <w:lang w:val="en-US" w:eastAsia="zh-CN"/>
        </w:rPr>
      </w:pPr>
      <w:r>
        <w:rPr>
          <w:rFonts w:hint="eastAsia"/>
          <w:b/>
          <w:bCs/>
          <w:sz w:val="24"/>
          <w:szCs w:val="24"/>
          <w:lang w:val="en-US" w:eastAsia="zh-CN"/>
        </w:rPr>
        <w:t>9.2 建筑隔震技术指标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采用隔震技术后的上部结构地震作用一般可减小 3～6 倍，地震时建筑物上部结构的反应以第一振型为主，类似于刚体平动。其地震反应很小，结构构件和内部设备都不会发生破坏或丧失正常的使用功能，在内部工作和生活的人员不仅不会遭受伤害，也不会感受到强烈的摇晃，强震发生后人员无需疏散，房屋无需修理或仅需一般修理，从而保证建筑物的安全甚至避免非结构构件如设备、装修破坏等次生灾害的发生。</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建筑隔震设计方案，应根据建筑抗震设防类别、抗震设防烈度、场地条件、建筑结构方案和建筑使用要求，与采用抗震设计的设计方案进行技术、经济可行性的对比分析后确定。采用隔震技术结构体系的计算分析应按现行国家标准《建筑抗震设计规范》GB 50011 进行，设计安装做法可参考国家建筑标准设计图集《建筑结构隔震构造详图》03SG610-1，其产品应符合现行行业标准《建筑隔震橡胶支座》JG 118 的规定。</w:t>
      </w:r>
    </w:p>
    <w:p>
      <w:pPr>
        <w:numPr>
          <w:ilvl w:val="0"/>
          <w:numId w:val="0"/>
        </w:numPr>
        <w:rPr>
          <w:rFonts w:hint="eastAsia"/>
          <w:b/>
          <w:bCs/>
          <w:sz w:val="24"/>
          <w:szCs w:val="24"/>
          <w:lang w:val="en-US" w:eastAsia="zh-CN"/>
        </w:rPr>
      </w:pPr>
      <w:r>
        <w:rPr>
          <w:rFonts w:hint="eastAsia"/>
          <w:b/>
          <w:bCs/>
          <w:sz w:val="24"/>
          <w:szCs w:val="24"/>
          <w:lang w:val="en-US" w:eastAsia="zh-CN"/>
        </w:rPr>
        <w:t>9.3 结构构件加固技术指标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钢绞线网片聚合物砂浆加固的材料和设计计算及施工应符合行业标准《钢绞线网片聚合物砂浆加固加固技术规程》JGJ 337 的要求；外包钢加固的设计计算和胶粘剂的要求应符合国家现行标准《混凝土结构加固设计规范》GB 50367 和行业标准《建筑抗震加固技术规程》JGJ 116 的规定，关于钢材、焊缝设计及其施工的要求应符合现行国家标准《钢结构设计规范》GB 50017 的规定。</w:t>
      </w:r>
    </w:p>
    <w:p>
      <w:pPr>
        <w:numPr>
          <w:ilvl w:val="0"/>
          <w:numId w:val="0"/>
        </w:numPr>
        <w:rPr>
          <w:rFonts w:hint="eastAsia"/>
          <w:b/>
          <w:bCs/>
          <w:sz w:val="24"/>
          <w:szCs w:val="24"/>
          <w:lang w:val="en-US" w:eastAsia="zh-CN"/>
        </w:rPr>
      </w:pPr>
      <w:r>
        <w:rPr>
          <w:rFonts w:hint="eastAsia"/>
          <w:b/>
          <w:bCs/>
          <w:sz w:val="24"/>
          <w:szCs w:val="24"/>
          <w:lang w:val="en-US" w:eastAsia="zh-CN"/>
        </w:rPr>
        <w:t>9.4 建筑移位技术指标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采用建筑移位技术的结构设计可依据国家现行行业标准《建（构）筑物移位工程技术规程》</w:t>
      </w:r>
    </w:p>
    <w:p>
      <w:pPr>
        <w:numPr>
          <w:ilvl w:val="0"/>
          <w:numId w:val="0"/>
        </w:numPr>
        <w:rPr>
          <w:rFonts w:hint="eastAsia"/>
          <w:b w:val="0"/>
          <w:bCs w:val="0"/>
          <w:sz w:val="24"/>
          <w:szCs w:val="24"/>
          <w:lang w:val="en-US" w:eastAsia="zh-CN"/>
        </w:rPr>
      </w:pPr>
      <w:r>
        <w:rPr>
          <w:rFonts w:hint="eastAsia"/>
          <w:b w:val="0"/>
          <w:bCs w:val="0"/>
          <w:sz w:val="24"/>
          <w:szCs w:val="24"/>
          <w:lang w:val="en-US" w:eastAsia="zh-CN"/>
        </w:rPr>
        <w:t>JGJ/T 239 及《建筑物移位纠倾增层改造技术规范》CECS225 进行，变形监测做法可按现行行业标准《建筑变形测量规范》JGJ8 执行。</w:t>
      </w:r>
    </w:p>
    <w:p>
      <w:pPr>
        <w:numPr>
          <w:ilvl w:val="0"/>
          <w:numId w:val="0"/>
        </w:numPr>
        <w:rPr>
          <w:rFonts w:hint="eastAsia"/>
          <w:b/>
          <w:bCs/>
          <w:sz w:val="24"/>
          <w:szCs w:val="24"/>
          <w:lang w:val="en-US" w:eastAsia="zh-CN"/>
        </w:rPr>
      </w:pPr>
      <w:r>
        <w:rPr>
          <w:rFonts w:hint="eastAsia"/>
          <w:b/>
          <w:bCs/>
          <w:sz w:val="24"/>
          <w:szCs w:val="24"/>
          <w:lang w:val="en-US" w:eastAsia="zh-CN"/>
        </w:rPr>
        <w:t>9.5 结构无损性拆除技术指标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（1）金刚石无损钻切技术</w:t>
      </w:r>
    </w:p>
    <w:p>
      <w:pPr>
        <w:numPr>
          <w:ilvl w:val="0"/>
          <w:numId w:val="0"/>
        </w:numPr>
        <w:rPr>
          <w:rFonts w:hint="eastAsia"/>
          <w:b w:val="0"/>
          <w:bCs w:val="0"/>
          <w:sz w:val="24"/>
          <w:szCs w:val="24"/>
          <w:lang w:val="en-US" w:eastAsia="zh-CN"/>
        </w:rPr>
      </w:pPr>
      <w:r>
        <w:rPr>
          <w:rFonts w:hint="eastAsia"/>
          <w:b w:val="0"/>
          <w:bCs w:val="0"/>
          <w:sz w:val="24"/>
          <w:szCs w:val="24"/>
          <w:lang w:val="en-US" w:eastAsia="zh-CN"/>
        </w:rPr>
        <w:t>1）金刚石绳锯：</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绳索的变向是通过导向轮的组合安装来实现的，施工过程中导向轮的安装与主动驱动轮中的位置关系应巧妙的设计，以满足切割要求。</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绳索切割线速度不低于 18m/s。</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金刚石绳索的质量标准应满足切割过程中最大张拉强度的要求。</w:t>
      </w:r>
    </w:p>
    <w:p>
      <w:pPr>
        <w:numPr>
          <w:ilvl w:val="0"/>
          <w:numId w:val="0"/>
        </w:numPr>
        <w:rPr>
          <w:rFonts w:hint="eastAsia"/>
          <w:b w:val="0"/>
          <w:bCs w:val="0"/>
          <w:sz w:val="24"/>
          <w:szCs w:val="24"/>
          <w:lang w:val="en-US" w:eastAsia="zh-CN"/>
        </w:rPr>
      </w:pPr>
      <w:r>
        <w:rPr>
          <w:rFonts w:hint="eastAsia"/>
          <w:b w:val="0"/>
          <w:bCs w:val="0"/>
          <w:sz w:val="24"/>
          <w:szCs w:val="24"/>
          <w:lang w:val="en-US" w:eastAsia="zh-CN"/>
        </w:rPr>
        <w:t>2）金刚石圆盘锯 ：</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切割锯片与切割深度的关系见表 9.1。</w:t>
      </w:r>
    </w:p>
    <w:p>
      <w:pPr>
        <w:numPr>
          <w:ilvl w:val="0"/>
          <w:numId w:val="0"/>
        </w:numPr>
        <w:ind w:firstLine="2530" w:firstLineChars="1200"/>
        <w:rPr>
          <w:rFonts w:hint="eastAsia"/>
          <w:b/>
          <w:bCs/>
          <w:sz w:val="21"/>
          <w:szCs w:val="21"/>
          <w:lang w:val="en-US" w:eastAsia="zh-CN"/>
        </w:rPr>
      </w:pPr>
      <w:r>
        <w:rPr>
          <w:rFonts w:hint="eastAsia"/>
          <w:b/>
          <w:bCs/>
          <w:sz w:val="21"/>
          <w:szCs w:val="21"/>
          <w:lang w:val="en-US" w:eastAsia="zh-CN"/>
        </w:rPr>
        <w:t>表 9.1 切割锯片与切割深度关系表</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53"/>
        <w:gridCol w:w="1953"/>
        <w:gridCol w:w="1953"/>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锯片直径/mm  </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400</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600</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700 </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切割深度/mm  </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150 </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250 </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300</w:t>
            </w:r>
          </w:p>
        </w:tc>
        <w:tc>
          <w:tcPr>
            <w:tcW w:w="1953"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500</w:t>
            </w:r>
          </w:p>
        </w:tc>
      </w:tr>
    </w:tbl>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切割锯的轨道安装偏差控制在 3mm 以内，锯片固定完成后检查调整锯片与切割面的垂直度，平行于墙体切割楼板时，距离墙边最小切割距离为 30mm。</w:t>
      </w:r>
    </w:p>
    <w:p>
      <w:pPr>
        <w:numPr>
          <w:ilvl w:val="0"/>
          <w:numId w:val="0"/>
        </w:numPr>
        <w:rPr>
          <w:rFonts w:hint="eastAsia"/>
          <w:b w:val="0"/>
          <w:bCs w:val="0"/>
          <w:sz w:val="24"/>
          <w:szCs w:val="24"/>
          <w:lang w:val="en-US" w:eastAsia="zh-CN"/>
        </w:rPr>
      </w:pPr>
      <w:r>
        <w:rPr>
          <w:rFonts w:hint="eastAsia"/>
          <w:b w:val="0"/>
          <w:bCs w:val="0"/>
          <w:sz w:val="24"/>
          <w:szCs w:val="24"/>
          <w:lang w:val="en-US" w:eastAsia="zh-CN"/>
        </w:rPr>
        <w:t>3）金刚石薄壁钻：</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采用十字画线法确定钻孔中心，孔位偏差不超过 3mm。</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利用连续钻孔进行切割时，钻孔采用Φ89mm 或Φ108mm 孔径施工，1m 长度方向上布置钻孔数为 11～13 个。切割直线偏差小于 20mm。</w:t>
      </w:r>
    </w:p>
    <w:p>
      <w:pPr>
        <w:numPr>
          <w:ilvl w:val="0"/>
          <w:numId w:val="0"/>
        </w:numPr>
        <w:rPr>
          <w:rFonts w:hint="eastAsia"/>
          <w:b w:val="0"/>
          <w:bCs w:val="0"/>
          <w:sz w:val="24"/>
          <w:szCs w:val="24"/>
          <w:lang w:val="en-US" w:eastAsia="zh-CN"/>
        </w:rPr>
      </w:pPr>
      <w:r>
        <w:rPr>
          <w:rFonts w:hint="eastAsia"/>
          <w:b w:val="0"/>
          <w:bCs w:val="0"/>
          <w:sz w:val="24"/>
          <w:szCs w:val="24"/>
          <w:lang w:val="en-US" w:eastAsia="zh-CN"/>
        </w:rPr>
        <w:t>（2）水力破除技术</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水力破除技术参数主要为压力、流量、冲程；如压力大、流量小则施工效率会大大降低，压力小、流量大则无法破除混凝土，冲程大则破除深度大，冲程小则破除深度小，三者有着密不可分，应针对不同标号强度、级配的混凝土参数的进行设定。具体参数详见表 9.2。</w:t>
      </w:r>
    </w:p>
    <w:p>
      <w:pPr>
        <w:numPr>
          <w:ilvl w:val="0"/>
          <w:numId w:val="0"/>
        </w:numPr>
        <w:ind w:firstLine="2951" w:firstLineChars="1400"/>
        <w:rPr>
          <w:rFonts w:hint="eastAsia"/>
          <w:b/>
          <w:bCs/>
          <w:sz w:val="21"/>
          <w:szCs w:val="21"/>
          <w:lang w:val="en-US" w:eastAsia="zh-CN"/>
        </w:rPr>
      </w:pPr>
      <w:r>
        <w:rPr>
          <w:rFonts w:hint="eastAsia"/>
          <w:b/>
          <w:bCs/>
          <w:sz w:val="21"/>
          <w:szCs w:val="21"/>
          <w:lang w:val="en-US" w:eastAsia="zh-CN"/>
        </w:rPr>
        <w:t>表 9.2 水力破除技术参数表</w:t>
      </w:r>
    </w:p>
    <w:tbl>
      <w:tblPr>
        <w:tblStyle w:val="6"/>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325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破除形式 </w:t>
            </w:r>
          </w:p>
        </w:tc>
        <w:tc>
          <w:tcPr>
            <w:tcW w:w="3255"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压力/MPa </w:t>
            </w:r>
          </w:p>
        </w:tc>
        <w:tc>
          <w:tcPr>
            <w:tcW w:w="3255"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流量/（L/min）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机器人形式</w:t>
            </w:r>
          </w:p>
        </w:tc>
        <w:tc>
          <w:tcPr>
            <w:tcW w:w="3255"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180~220</w:t>
            </w:r>
          </w:p>
        </w:tc>
        <w:tc>
          <w:tcPr>
            <w:tcW w:w="3255"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 180~220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手持式形式  </w:t>
            </w:r>
          </w:p>
        </w:tc>
        <w:tc>
          <w:tcPr>
            <w:tcW w:w="3255"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220~260</w:t>
            </w:r>
          </w:p>
        </w:tc>
        <w:tc>
          <w:tcPr>
            <w:tcW w:w="3255" w:type="dxa"/>
          </w:tcPr>
          <w:p>
            <w:pPr>
              <w:numPr>
                <w:ilvl w:val="0"/>
                <w:numId w:val="0"/>
              </w:numPr>
              <w:rPr>
                <w:rFonts w:hint="eastAsia"/>
                <w:b w:val="0"/>
                <w:bCs w:val="0"/>
                <w:sz w:val="21"/>
                <w:szCs w:val="21"/>
                <w:vertAlign w:val="baseline"/>
                <w:lang w:val="en-US" w:eastAsia="zh-CN"/>
              </w:rPr>
            </w:pPr>
            <w:r>
              <w:rPr>
                <w:rFonts w:hint="eastAsia"/>
                <w:b w:val="0"/>
                <w:bCs w:val="0"/>
                <w:sz w:val="21"/>
                <w:szCs w:val="21"/>
                <w:vertAlign w:val="baseline"/>
                <w:lang w:val="en-US" w:eastAsia="zh-CN"/>
              </w:rPr>
              <w:t>20~26</w:t>
            </w:r>
          </w:p>
        </w:tc>
      </w:tr>
    </w:tbl>
    <w:p>
      <w:pPr>
        <w:numPr>
          <w:ilvl w:val="0"/>
          <w:numId w:val="0"/>
        </w:numPr>
        <w:rPr>
          <w:rFonts w:hint="eastAsia"/>
          <w:b/>
          <w:bCs/>
          <w:sz w:val="24"/>
          <w:szCs w:val="24"/>
          <w:lang w:val="en-US" w:eastAsia="zh-CN"/>
        </w:rPr>
      </w:pPr>
      <w:r>
        <w:rPr>
          <w:rFonts w:hint="eastAsia"/>
          <w:b/>
          <w:bCs/>
          <w:sz w:val="24"/>
          <w:szCs w:val="24"/>
          <w:lang w:val="en-US" w:eastAsia="zh-CN"/>
        </w:rPr>
        <w:t>9.6 深基坑施工监测技术指标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（1）变形报警值。水平位移报警值，按一级安全等级考虑，最大水平位移≤0.14％H；按二级安全等级考虑，最大水平位移≤0.3％H。</w:t>
      </w:r>
    </w:p>
    <w:p>
      <w:pPr>
        <w:numPr>
          <w:ilvl w:val="0"/>
          <w:numId w:val="0"/>
        </w:numPr>
        <w:rPr>
          <w:rFonts w:hint="eastAsia"/>
          <w:b w:val="0"/>
          <w:bCs w:val="0"/>
          <w:sz w:val="24"/>
          <w:szCs w:val="24"/>
          <w:lang w:val="en-US" w:eastAsia="zh-CN"/>
        </w:rPr>
      </w:pPr>
      <w:r>
        <w:rPr>
          <w:rFonts w:hint="eastAsia"/>
          <w:b w:val="0"/>
          <w:bCs w:val="0"/>
          <w:sz w:val="24"/>
          <w:szCs w:val="24"/>
          <w:lang w:val="en-US" w:eastAsia="zh-CN"/>
        </w:rPr>
        <w:t>（2）地面沉降量报警值。按一级安全等级考虑，最大沉降量≤0.1％H；按二级安全等级考虑，最大沉降量≤0.2％H。</w:t>
      </w:r>
    </w:p>
    <w:p>
      <w:pPr>
        <w:numPr>
          <w:ilvl w:val="0"/>
          <w:numId w:val="0"/>
        </w:numPr>
        <w:rPr>
          <w:rFonts w:hint="eastAsia"/>
          <w:b w:val="0"/>
          <w:bCs w:val="0"/>
          <w:sz w:val="24"/>
          <w:szCs w:val="24"/>
          <w:lang w:val="en-US" w:eastAsia="zh-CN"/>
        </w:rPr>
      </w:pPr>
      <w:r>
        <w:rPr>
          <w:rFonts w:hint="eastAsia"/>
          <w:b w:val="0"/>
          <w:bCs w:val="0"/>
          <w:sz w:val="24"/>
          <w:szCs w:val="24"/>
          <w:lang w:val="en-US" w:eastAsia="zh-CN"/>
        </w:rPr>
        <w:t>（3）监测报警指标一般以总变化量和变化速率两个量控制，累计变化量的报警指标一般不宜超过设计限值。若有监测项目的数据超过报警指标，应从累计变化量与日变量两方面考虑。</w:t>
      </w:r>
    </w:p>
    <w:p>
      <w:pPr>
        <w:numPr>
          <w:ilvl w:val="0"/>
          <w:numId w:val="0"/>
        </w:numPr>
        <w:rPr>
          <w:rFonts w:hint="eastAsia"/>
          <w:b/>
          <w:bCs/>
          <w:sz w:val="24"/>
          <w:szCs w:val="24"/>
          <w:lang w:val="en-US" w:eastAsia="zh-CN"/>
        </w:rPr>
      </w:pPr>
      <w:r>
        <w:rPr>
          <w:rFonts w:hint="eastAsia"/>
          <w:b/>
          <w:bCs/>
          <w:sz w:val="24"/>
          <w:szCs w:val="24"/>
          <w:lang w:val="en-US" w:eastAsia="zh-CN"/>
        </w:rPr>
        <w:t>9.7 大型复杂结构施工安全性监测技术指标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监测技术指标主要包括传感器及数据采集传输系统测试稳定性和精度，其稳定性指标一般为监测期间内最大漂移小于工程允许的范围，测试精度一般满足结构状态值的 5％以内。监测点布置与数量满足工程监测的需要，并满足《建筑与桥梁结构监测技术规范》GB50982 等国家现行监测、测量等规范标准要求。</w:t>
      </w:r>
    </w:p>
    <w:p>
      <w:pPr>
        <w:numPr>
          <w:ilvl w:val="0"/>
          <w:numId w:val="0"/>
        </w:numPr>
        <w:rPr>
          <w:rFonts w:hint="eastAsia"/>
          <w:b/>
          <w:bCs/>
          <w:sz w:val="24"/>
          <w:szCs w:val="24"/>
          <w:lang w:val="en-US" w:eastAsia="zh-CN"/>
        </w:rPr>
      </w:pPr>
      <w:r>
        <w:rPr>
          <w:rFonts w:hint="eastAsia"/>
          <w:b/>
          <w:bCs/>
          <w:sz w:val="24"/>
          <w:szCs w:val="24"/>
          <w:lang w:val="en-US" w:eastAsia="zh-CN"/>
        </w:rPr>
        <w:t>9.8 爆破工程监测技术指标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爆破监测在具体实施中应符合国家现行标准《爆破安全规程》GB6722、《作业场所空气中粉尘测定方法》GB5748、《水电水利工程爆破安全监测规程》DL/T5333。</w:t>
      </w:r>
    </w:p>
    <w:p>
      <w:pPr>
        <w:numPr>
          <w:ilvl w:val="0"/>
          <w:numId w:val="0"/>
        </w:numPr>
        <w:rPr>
          <w:rFonts w:hint="eastAsia"/>
          <w:b/>
          <w:bCs/>
          <w:sz w:val="24"/>
          <w:szCs w:val="24"/>
          <w:lang w:val="en-US" w:eastAsia="zh-CN"/>
        </w:rPr>
      </w:pPr>
      <w:r>
        <w:rPr>
          <w:rFonts w:hint="eastAsia"/>
          <w:b/>
          <w:bCs/>
          <w:sz w:val="24"/>
          <w:szCs w:val="24"/>
          <w:lang w:val="en-US" w:eastAsia="zh-CN"/>
        </w:rPr>
        <w:t>9.9 受周边施工影响的建（构）筑物检测、监测技术指标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检测主要是对既有结构的现状、结构性态进行检测与调查，记录结构外观缺陷与损伤、裂缝、差异沉降、倾斜等作为施工前结构初始值，并对结构进行承载力评定及预变形分析。结构承载力评定应包含较大差异沉降、倾斜或缺陷的作用；监测及预警主要为受影响的建（构）筑物结构内部变形及应力，倾斜与不均匀沉降，典型裂缝的宽度与开展，其他典型缺陷等。</w:t>
      </w:r>
    </w:p>
    <w:p>
      <w:pPr>
        <w:numPr>
          <w:ilvl w:val="0"/>
          <w:numId w:val="0"/>
        </w:numPr>
        <w:rPr>
          <w:rFonts w:hint="eastAsia"/>
          <w:b/>
          <w:bCs/>
          <w:sz w:val="24"/>
          <w:szCs w:val="24"/>
          <w:lang w:val="en-US" w:eastAsia="zh-CN"/>
        </w:rPr>
      </w:pPr>
      <w:r>
        <w:rPr>
          <w:rFonts w:hint="eastAsia"/>
          <w:b/>
          <w:bCs/>
          <w:sz w:val="24"/>
          <w:szCs w:val="24"/>
          <w:lang w:val="en-US" w:eastAsia="zh-CN"/>
        </w:rPr>
        <w:t>9.10 隧道安全监测技术指标</w:t>
      </w:r>
    </w:p>
    <w:p>
      <w:pPr>
        <w:numPr>
          <w:ilvl w:val="0"/>
          <w:numId w:val="0"/>
        </w:numPr>
        <w:ind w:firstLine="240" w:firstLineChars="100"/>
        <w:rPr>
          <w:rFonts w:hint="eastAsia"/>
          <w:b w:val="0"/>
          <w:bCs w:val="0"/>
          <w:sz w:val="24"/>
          <w:szCs w:val="24"/>
          <w:lang w:val="en-US" w:eastAsia="zh-CN"/>
        </w:rPr>
      </w:pPr>
      <w:r>
        <w:rPr>
          <w:rFonts w:hint="eastAsia"/>
          <w:b w:val="0"/>
          <w:bCs w:val="0"/>
          <w:sz w:val="24"/>
          <w:szCs w:val="24"/>
          <w:lang w:val="en-US" w:eastAsia="zh-CN"/>
        </w:rPr>
        <w:t>监测实施过程应符合现行国家标准《工程测量规范》GB50026、《城市轨道交通工程测量规</w:t>
      </w:r>
    </w:p>
    <w:p>
      <w:pPr>
        <w:numPr>
          <w:ilvl w:val="0"/>
          <w:numId w:val="0"/>
        </w:numPr>
        <w:rPr>
          <w:rFonts w:hint="eastAsia"/>
          <w:b w:val="0"/>
          <w:bCs w:val="0"/>
          <w:sz w:val="24"/>
          <w:szCs w:val="24"/>
          <w:lang w:val="en-US" w:eastAsia="zh-CN"/>
        </w:rPr>
      </w:pPr>
      <w:r>
        <w:rPr>
          <w:rFonts w:hint="eastAsia"/>
          <w:b w:val="0"/>
          <w:bCs w:val="0"/>
          <w:sz w:val="24"/>
          <w:szCs w:val="24"/>
          <w:lang w:val="en-US" w:eastAsia="zh-CN"/>
        </w:rPr>
        <w:t>范》GB50308 等。</w:t>
      </w:r>
    </w:p>
    <w:p>
      <w:pPr>
        <w:numPr>
          <w:ilvl w:val="0"/>
          <w:numId w:val="3"/>
        </w:numPr>
        <w:ind w:left="0" w:leftChars="0" w:firstLine="0" w:firstLineChars="0"/>
        <w:rPr>
          <w:rFonts w:hint="eastAsia"/>
          <w:b/>
          <w:bCs/>
          <w:sz w:val="28"/>
          <w:szCs w:val="28"/>
          <w:lang w:val="en-US" w:eastAsia="zh-CN"/>
        </w:rPr>
      </w:pPr>
      <w:r>
        <w:rPr>
          <w:rFonts w:hint="eastAsia"/>
          <w:b/>
          <w:bCs/>
          <w:sz w:val="28"/>
          <w:szCs w:val="28"/>
          <w:lang w:val="en-US" w:eastAsia="zh-CN"/>
        </w:rPr>
        <w:t>信息化技术</w:t>
      </w:r>
    </w:p>
    <w:p>
      <w:pPr>
        <w:numPr>
          <w:ilvl w:val="0"/>
          <w:numId w:val="0"/>
        </w:numPr>
        <w:ind w:leftChars="0"/>
        <w:rPr>
          <w:rFonts w:hint="eastAsia"/>
          <w:b/>
          <w:bCs/>
          <w:sz w:val="24"/>
          <w:szCs w:val="24"/>
          <w:lang w:val="en-US" w:eastAsia="zh-CN"/>
        </w:rPr>
      </w:pPr>
      <w:r>
        <w:rPr>
          <w:rFonts w:hint="eastAsia"/>
          <w:b/>
          <w:bCs/>
          <w:sz w:val="24"/>
          <w:szCs w:val="24"/>
          <w:lang w:val="en-US" w:eastAsia="zh-CN"/>
        </w:rPr>
        <w:t>10.1 基于 BIM 的现场施工管理信息技术指标</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（1）基于 BIM 技术在设计模型基础上，结合施工工艺及现场管理需求进行深化设计和调整，</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形成施工 BIM 模型，实现 BIM 模型在设计与施工阶段的无缝衔接。</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（2）运用的 BIM 技术应具备可视化、可模拟、可协调等能力，实现施工模型与施工阶段实</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际数据的关联，进行建筑、结构、机电设备等各专业在施工阶段的综合碰撞检查、分析和模拟。</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（3）采用的 BIM 施工现场管理平台应具备角色管控、分级授权、流程管理、数据管理、模141型展示等功能。</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（4）通过物联网技术自动采集施工现场实际进度的相关信息，实现与项目计划进度的虚拟比对。</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（5）利用移动设备，可即时采集图片、视频信息，并能自动上传到 BIM 施工现场管理平台，</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责任人员在移动端即时得到整改通知、整改回复的提醒，实现质量管理任务在线分配、处理过程及时跟踪的闭环管理等的要求。</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（6）运用 BIM 技术，实现危险源的可视标记、定位、查询分析。安全围栏、标识牌、遮拦</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网等需要进行安全防护和警示的地方在模型中进行标记，提醒现场施工人员安全施工。</w:t>
      </w:r>
    </w:p>
    <w:p>
      <w:pPr>
        <w:numPr>
          <w:ilvl w:val="0"/>
          <w:numId w:val="4"/>
        </w:numPr>
        <w:ind w:leftChars="0"/>
        <w:rPr>
          <w:rFonts w:hint="eastAsia"/>
          <w:b w:val="0"/>
          <w:bCs w:val="0"/>
          <w:sz w:val="24"/>
          <w:szCs w:val="24"/>
          <w:lang w:val="en-US" w:eastAsia="zh-CN"/>
        </w:rPr>
      </w:pPr>
      <w:r>
        <w:rPr>
          <w:rFonts w:hint="eastAsia"/>
          <w:b w:val="0"/>
          <w:bCs w:val="0"/>
          <w:sz w:val="24"/>
          <w:szCs w:val="24"/>
          <w:lang w:val="en-US" w:eastAsia="zh-CN"/>
        </w:rPr>
        <w:t>应具备与其他系统进行集成的能力。</w:t>
      </w:r>
    </w:p>
    <w:p>
      <w:pPr>
        <w:numPr>
          <w:ilvl w:val="0"/>
          <w:numId w:val="0"/>
        </w:numPr>
        <w:rPr>
          <w:rFonts w:hint="eastAsia"/>
          <w:b/>
          <w:bCs/>
          <w:sz w:val="24"/>
          <w:szCs w:val="24"/>
          <w:lang w:val="en-US" w:eastAsia="zh-CN"/>
        </w:rPr>
      </w:pPr>
      <w:r>
        <w:rPr>
          <w:rFonts w:hint="eastAsia"/>
          <w:b/>
          <w:bCs/>
          <w:sz w:val="24"/>
          <w:szCs w:val="24"/>
          <w:lang w:val="en-US" w:eastAsia="zh-CN"/>
        </w:rPr>
        <w:t>10.2 基于大数据的项目成本分析与控制信息技术指标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（1）采用大数据采集技术，建立项目成本数据采集模型，收集成本管理系统中存储的海量成本业务数据。</w:t>
      </w:r>
    </w:p>
    <w:p>
      <w:pPr>
        <w:numPr>
          <w:ilvl w:val="0"/>
          <w:numId w:val="0"/>
        </w:numPr>
        <w:rPr>
          <w:rFonts w:hint="eastAsia"/>
          <w:b w:val="0"/>
          <w:bCs w:val="0"/>
          <w:sz w:val="24"/>
          <w:szCs w:val="24"/>
          <w:lang w:val="en-US" w:eastAsia="zh-CN"/>
        </w:rPr>
      </w:pPr>
      <w:r>
        <w:rPr>
          <w:rFonts w:hint="eastAsia"/>
          <w:b w:val="0"/>
          <w:bCs w:val="0"/>
          <w:sz w:val="24"/>
          <w:szCs w:val="24"/>
          <w:lang w:val="en-US" w:eastAsia="zh-CN"/>
        </w:rPr>
        <w:t>（2）采用数据挖掘技术，建立价格指标关联分析模型，以地区、业务板块和业务发生时点为主要维度，结合政策调整、价格变化等相关社会经济指标，对劳务、物资和机械等成本价格进行挖掘，提取适合各项目的劳务分包单价、物资采购价格、机械租赁单价等数据，并输出到成本管理系统中作为项目成本的控制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（3）采用可视化分析技术，建立项目成本分析模型，从收入与产值、预算成本与实际成本、</w:t>
      </w:r>
    </w:p>
    <w:p>
      <w:pPr>
        <w:numPr>
          <w:ilvl w:val="0"/>
          <w:numId w:val="0"/>
        </w:numPr>
        <w:rPr>
          <w:rFonts w:hint="eastAsia"/>
          <w:b w:val="0"/>
          <w:bCs w:val="0"/>
          <w:sz w:val="24"/>
          <w:szCs w:val="24"/>
          <w:lang w:val="en-US" w:eastAsia="zh-CN"/>
        </w:rPr>
      </w:pPr>
      <w:r>
        <w:rPr>
          <w:rFonts w:hint="eastAsia"/>
          <w:b w:val="0"/>
          <w:bCs w:val="0"/>
          <w:sz w:val="24"/>
          <w:szCs w:val="24"/>
          <w:lang w:val="en-US" w:eastAsia="zh-CN"/>
        </w:rPr>
        <w:t>预计利润与实际利润等多个角度对项目成本进行对比分析，对成本指标进行趋势分析和预警。</w:t>
      </w:r>
    </w:p>
    <w:p>
      <w:pPr>
        <w:numPr>
          <w:ilvl w:val="0"/>
          <w:numId w:val="0"/>
        </w:numPr>
        <w:rPr>
          <w:rFonts w:hint="eastAsia"/>
          <w:b w:val="0"/>
          <w:bCs w:val="0"/>
          <w:sz w:val="24"/>
          <w:szCs w:val="24"/>
          <w:lang w:val="en-US" w:eastAsia="zh-CN"/>
        </w:rPr>
      </w:pPr>
      <w:r>
        <w:rPr>
          <w:rFonts w:hint="eastAsia"/>
          <w:b w:val="0"/>
          <w:bCs w:val="0"/>
          <w:sz w:val="24"/>
          <w:szCs w:val="24"/>
          <w:lang w:val="en-US" w:eastAsia="zh-CN"/>
        </w:rPr>
        <w:t>（4）采用分布式系统架构设计，降低并发量提高系统可用性和稳定性。采用 B/S 和 C/S 模式相结合的技术，Web 端实现业务单据的流转审批，使用离线客户端实现数据的便捷、快速处理。</w:t>
      </w:r>
    </w:p>
    <w:p>
      <w:pPr>
        <w:numPr>
          <w:ilvl w:val="0"/>
          <w:numId w:val="0"/>
        </w:numPr>
        <w:rPr>
          <w:rFonts w:hint="eastAsia"/>
          <w:b w:val="0"/>
          <w:bCs w:val="0"/>
          <w:sz w:val="24"/>
          <w:szCs w:val="24"/>
          <w:lang w:val="en-US" w:eastAsia="zh-CN"/>
        </w:rPr>
      </w:pPr>
      <w:r>
        <w:rPr>
          <w:rFonts w:hint="eastAsia"/>
          <w:b w:val="0"/>
          <w:bCs w:val="0"/>
          <w:sz w:val="24"/>
          <w:szCs w:val="24"/>
          <w:lang w:val="en-US" w:eastAsia="zh-CN"/>
        </w:rPr>
        <w:t>（5）通过系统的权限控制体系限定用户的操作权限和可访问的对象。系统应具备身份鉴别、</w:t>
      </w:r>
    </w:p>
    <w:p>
      <w:pPr>
        <w:numPr>
          <w:ilvl w:val="0"/>
          <w:numId w:val="0"/>
        </w:numPr>
        <w:rPr>
          <w:rFonts w:hint="eastAsia"/>
          <w:b w:val="0"/>
          <w:bCs w:val="0"/>
          <w:sz w:val="24"/>
          <w:szCs w:val="24"/>
          <w:lang w:val="en-US" w:eastAsia="zh-CN"/>
        </w:rPr>
      </w:pPr>
      <w:r>
        <w:rPr>
          <w:rFonts w:hint="eastAsia"/>
          <w:b w:val="0"/>
          <w:bCs w:val="0"/>
          <w:sz w:val="24"/>
          <w:szCs w:val="24"/>
          <w:lang w:val="en-US" w:eastAsia="zh-CN"/>
        </w:rPr>
        <w:t>访问控制、会话安全、数据安全、资源控制、日志与审计等功能，防止信息在传输过程中被抓包窜改。</w:t>
      </w:r>
    </w:p>
    <w:p>
      <w:pPr>
        <w:numPr>
          <w:ilvl w:val="0"/>
          <w:numId w:val="0"/>
        </w:numPr>
        <w:rPr>
          <w:rFonts w:hint="eastAsia"/>
          <w:b/>
          <w:bCs/>
          <w:sz w:val="24"/>
          <w:szCs w:val="24"/>
          <w:lang w:val="en-US" w:eastAsia="zh-CN"/>
        </w:rPr>
      </w:pPr>
      <w:r>
        <w:rPr>
          <w:rFonts w:hint="eastAsia"/>
          <w:b/>
          <w:bCs/>
          <w:sz w:val="24"/>
          <w:szCs w:val="24"/>
          <w:lang w:val="en-US" w:eastAsia="zh-CN"/>
        </w:rPr>
        <w:t>10.3 基于云计算的电子商务采购技术指标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（1）通过搭建云基础服务平台，实现系统负载均衡、多机互备、数据同步及资源弹性调度等机制。</w:t>
      </w:r>
    </w:p>
    <w:p>
      <w:pPr>
        <w:numPr>
          <w:ilvl w:val="0"/>
          <w:numId w:val="0"/>
        </w:numPr>
        <w:rPr>
          <w:rFonts w:hint="eastAsia"/>
          <w:b w:val="0"/>
          <w:bCs w:val="0"/>
          <w:sz w:val="24"/>
          <w:szCs w:val="24"/>
          <w:lang w:val="en-US" w:eastAsia="zh-CN"/>
        </w:rPr>
      </w:pPr>
      <w:r>
        <w:rPr>
          <w:rFonts w:hint="eastAsia"/>
          <w:b w:val="0"/>
          <w:bCs w:val="0"/>
          <w:sz w:val="24"/>
          <w:szCs w:val="24"/>
          <w:lang w:val="en-US" w:eastAsia="zh-CN"/>
        </w:rPr>
        <w:t>（2）具备符合要求的安全认证、权限管理等功能，同时提供工作流引擎，实现流程的可配置化及与表单的可集成化。</w:t>
      </w:r>
    </w:p>
    <w:p>
      <w:pPr>
        <w:numPr>
          <w:ilvl w:val="0"/>
          <w:numId w:val="0"/>
        </w:numPr>
        <w:rPr>
          <w:rFonts w:hint="eastAsia"/>
          <w:b w:val="0"/>
          <w:bCs w:val="0"/>
          <w:sz w:val="24"/>
          <w:szCs w:val="24"/>
          <w:lang w:val="en-US" w:eastAsia="zh-CN"/>
        </w:rPr>
      </w:pPr>
      <w:r>
        <w:rPr>
          <w:rFonts w:hint="eastAsia"/>
          <w:b w:val="0"/>
          <w:bCs w:val="0"/>
          <w:sz w:val="24"/>
          <w:szCs w:val="24"/>
          <w:lang w:val="en-US" w:eastAsia="zh-CN"/>
        </w:rPr>
        <w:t>（3）应提供规范统一的材料设备分类与编码体系、供应商编码体系和供应商评价体系。</w:t>
      </w:r>
    </w:p>
    <w:p>
      <w:pPr>
        <w:numPr>
          <w:ilvl w:val="0"/>
          <w:numId w:val="0"/>
        </w:numPr>
        <w:rPr>
          <w:rFonts w:hint="eastAsia"/>
          <w:b w:val="0"/>
          <w:bCs w:val="0"/>
          <w:sz w:val="24"/>
          <w:szCs w:val="24"/>
          <w:lang w:val="en-US" w:eastAsia="zh-CN"/>
        </w:rPr>
      </w:pPr>
      <w:r>
        <w:rPr>
          <w:rFonts w:hint="eastAsia"/>
          <w:b w:val="0"/>
          <w:bCs w:val="0"/>
          <w:sz w:val="24"/>
          <w:szCs w:val="24"/>
          <w:lang w:val="en-US" w:eastAsia="zh-CN"/>
        </w:rPr>
        <w:t>（4）可通过统一信用代码校验及手机号码校验，确认企业及用户信息的一致性和真实性。云平台需通过数字签名系统验证用户登录信息，对用户账户信息及投标价格信息进行加密存储，通过系统日志自动记录采购行为，以提高系统安全性及法律保障。</w:t>
      </w:r>
    </w:p>
    <w:p>
      <w:pPr>
        <w:numPr>
          <w:ilvl w:val="0"/>
          <w:numId w:val="0"/>
        </w:numPr>
        <w:rPr>
          <w:rFonts w:hint="eastAsia"/>
          <w:b w:val="0"/>
          <w:bCs w:val="0"/>
          <w:sz w:val="24"/>
          <w:szCs w:val="24"/>
          <w:lang w:val="en-US" w:eastAsia="zh-CN"/>
        </w:rPr>
      </w:pPr>
      <w:r>
        <w:rPr>
          <w:rFonts w:hint="eastAsia"/>
          <w:b w:val="0"/>
          <w:bCs w:val="0"/>
          <w:sz w:val="24"/>
          <w:szCs w:val="24"/>
          <w:lang w:val="en-US" w:eastAsia="zh-CN"/>
        </w:rPr>
        <w:t>（5）应支持移动终端设备实现供应商查询、在线下单、采购订单跟踪查询等应用。</w:t>
      </w:r>
    </w:p>
    <w:p>
      <w:pPr>
        <w:numPr>
          <w:ilvl w:val="0"/>
          <w:numId w:val="0"/>
        </w:numPr>
        <w:rPr>
          <w:rFonts w:hint="eastAsia"/>
          <w:b w:val="0"/>
          <w:bCs w:val="0"/>
          <w:sz w:val="24"/>
          <w:szCs w:val="24"/>
          <w:lang w:val="en-US" w:eastAsia="zh-CN"/>
        </w:rPr>
      </w:pPr>
      <w:r>
        <w:rPr>
          <w:rFonts w:hint="eastAsia"/>
          <w:b w:val="0"/>
          <w:bCs w:val="0"/>
          <w:sz w:val="24"/>
          <w:szCs w:val="24"/>
          <w:lang w:val="en-US" w:eastAsia="zh-CN"/>
        </w:rPr>
        <w:t>（6）应实现与项目管理系统需求计划、采购合同的对接，以及与企业 OA 系统的采购审批流程对接。还应提供与其他相关业务系统的标准数据接口。</w:t>
      </w:r>
    </w:p>
    <w:p>
      <w:pPr>
        <w:numPr>
          <w:ilvl w:val="0"/>
          <w:numId w:val="0"/>
        </w:numPr>
        <w:rPr>
          <w:rFonts w:hint="eastAsia"/>
          <w:b/>
          <w:bCs/>
          <w:sz w:val="24"/>
          <w:szCs w:val="24"/>
          <w:lang w:val="en-US" w:eastAsia="zh-CN"/>
        </w:rPr>
      </w:pPr>
      <w:r>
        <w:rPr>
          <w:rFonts w:hint="eastAsia"/>
          <w:b/>
          <w:bCs/>
          <w:sz w:val="24"/>
          <w:szCs w:val="24"/>
          <w:lang w:val="en-US" w:eastAsia="zh-CN"/>
        </w:rPr>
        <w:t>10.4 基于互联网的项目多方协同管理技术指标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（1）采用云模式及分布式架构部署协同管理平台，支持基于互联网的移动应用，实现项目文档快速上传和下载。</w:t>
      </w:r>
    </w:p>
    <w:p>
      <w:pPr>
        <w:numPr>
          <w:ilvl w:val="0"/>
          <w:numId w:val="0"/>
        </w:numPr>
        <w:rPr>
          <w:rFonts w:hint="eastAsia"/>
          <w:b w:val="0"/>
          <w:bCs w:val="0"/>
          <w:sz w:val="24"/>
          <w:szCs w:val="24"/>
          <w:lang w:val="en-US" w:eastAsia="zh-CN"/>
        </w:rPr>
      </w:pPr>
      <w:r>
        <w:rPr>
          <w:rFonts w:hint="eastAsia"/>
          <w:b w:val="0"/>
          <w:bCs w:val="0"/>
          <w:sz w:val="24"/>
          <w:szCs w:val="24"/>
          <w:lang w:val="en-US" w:eastAsia="zh-CN"/>
        </w:rPr>
        <w:t>（2）应具备即时通讯功能，统一身份认证与访问控制体系，实现多组织、多用户的统一管理和权限控制，提供海量文档加密存储和管理能力。</w:t>
      </w:r>
    </w:p>
    <w:p>
      <w:pPr>
        <w:numPr>
          <w:ilvl w:val="0"/>
          <w:numId w:val="0"/>
        </w:numPr>
        <w:rPr>
          <w:rFonts w:hint="eastAsia"/>
          <w:b w:val="0"/>
          <w:bCs w:val="0"/>
          <w:sz w:val="24"/>
          <w:szCs w:val="24"/>
          <w:lang w:val="en-US" w:eastAsia="zh-CN"/>
        </w:rPr>
      </w:pPr>
      <w:r>
        <w:rPr>
          <w:rFonts w:hint="eastAsia"/>
          <w:b w:val="0"/>
          <w:bCs w:val="0"/>
          <w:sz w:val="24"/>
          <w:szCs w:val="24"/>
          <w:lang w:val="en-US" w:eastAsia="zh-CN"/>
        </w:rPr>
        <w:t>（3）针对工程项目的图纸、文档等进行图形、文字、声音、照片和视频的标注。</w:t>
      </w:r>
    </w:p>
    <w:p>
      <w:pPr>
        <w:numPr>
          <w:ilvl w:val="0"/>
          <w:numId w:val="0"/>
        </w:numPr>
        <w:rPr>
          <w:rFonts w:hint="eastAsia"/>
          <w:b w:val="0"/>
          <w:bCs w:val="0"/>
          <w:sz w:val="24"/>
          <w:szCs w:val="24"/>
          <w:lang w:val="en-US" w:eastAsia="zh-CN"/>
        </w:rPr>
      </w:pPr>
      <w:r>
        <w:rPr>
          <w:rFonts w:hint="eastAsia"/>
          <w:b w:val="0"/>
          <w:bCs w:val="0"/>
          <w:sz w:val="24"/>
          <w:szCs w:val="24"/>
          <w:lang w:val="en-US" w:eastAsia="zh-CN"/>
        </w:rPr>
        <w:t>（4）应提供流程管理服务，符合业务流程与标注（BPMN）2.0 标准。</w:t>
      </w:r>
    </w:p>
    <w:p>
      <w:pPr>
        <w:numPr>
          <w:ilvl w:val="0"/>
          <w:numId w:val="0"/>
        </w:numPr>
        <w:rPr>
          <w:rFonts w:hint="eastAsia"/>
          <w:b w:val="0"/>
          <w:bCs w:val="0"/>
          <w:sz w:val="24"/>
          <w:szCs w:val="24"/>
          <w:lang w:val="en-US" w:eastAsia="zh-CN"/>
        </w:rPr>
      </w:pPr>
      <w:r>
        <w:rPr>
          <w:rFonts w:hint="eastAsia"/>
          <w:b w:val="0"/>
          <w:bCs w:val="0"/>
          <w:sz w:val="24"/>
          <w:szCs w:val="24"/>
          <w:lang w:val="en-US" w:eastAsia="zh-CN"/>
        </w:rPr>
        <w:t>（5）应提供任务编排功能，支持父子任务设计，方便逐级分解和分配任务，支持任务推送和自动提醒。</w:t>
      </w:r>
    </w:p>
    <w:p>
      <w:pPr>
        <w:numPr>
          <w:ilvl w:val="0"/>
          <w:numId w:val="0"/>
        </w:numPr>
        <w:rPr>
          <w:rFonts w:hint="eastAsia"/>
          <w:b w:val="0"/>
          <w:bCs w:val="0"/>
          <w:sz w:val="24"/>
          <w:szCs w:val="24"/>
          <w:lang w:val="en-US" w:eastAsia="zh-CN"/>
        </w:rPr>
      </w:pPr>
      <w:r>
        <w:rPr>
          <w:rFonts w:hint="eastAsia"/>
          <w:b w:val="0"/>
          <w:bCs w:val="0"/>
          <w:sz w:val="24"/>
          <w:szCs w:val="24"/>
          <w:lang w:val="en-US" w:eastAsia="zh-CN"/>
        </w:rPr>
        <w:t>（6）应提供大数据分析功能，支持质量、安全缺陷事件的分析，防范质量、安全风险。</w:t>
      </w:r>
    </w:p>
    <w:p>
      <w:pPr>
        <w:numPr>
          <w:ilvl w:val="0"/>
          <w:numId w:val="0"/>
        </w:numPr>
        <w:rPr>
          <w:rFonts w:hint="eastAsia"/>
          <w:b/>
          <w:bCs/>
          <w:sz w:val="24"/>
          <w:szCs w:val="24"/>
          <w:lang w:val="en-US" w:eastAsia="zh-CN"/>
        </w:rPr>
      </w:pPr>
      <w:r>
        <w:rPr>
          <w:rFonts w:hint="eastAsia"/>
          <w:b/>
          <w:bCs/>
          <w:sz w:val="24"/>
          <w:szCs w:val="24"/>
          <w:lang w:val="en-US" w:eastAsia="zh-CN"/>
        </w:rPr>
        <w:t>10.5 基于移动互联网的项目动态管理信息技术指标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（1）应用移动互联网技术，实现在移动端对施工现场设备进行安全、高效的统一调配和管理。</w:t>
      </w:r>
    </w:p>
    <w:p>
      <w:pPr>
        <w:numPr>
          <w:ilvl w:val="0"/>
          <w:numId w:val="0"/>
        </w:numPr>
        <w:rPr>
          <w:rFonts w:hint="eastAsia"/>
          <w:b w:val="0"/>
          <w:bCs w:val="0"/>
          <w:sz w:val="24"/>
          <w:szCs w:val="24"/>
          <w:lang w:val="en-US" w:eastAsia="zh-CN"/>
        </w:rPr>
      </w:pPr>
      <w:r>
        <w:rPr>
          <w:rFonts w:hint="eastAsia"/>
          <w:b w:val="0"/>
          <w:bCs w:val="0"/>
          <w:sz w:val="24"/>
          <w:szCs w:val="24"/>
          <w:lang w:val="en-US" w:eastAsia="zh-CN"/>
        </w:rPr>
        <w:t>（2）结合 LBS 技术通过对移动轨迹采集和定位，实现移动端自动采集现场设备工作轨迹和工作状态。</w:t>
      </w:r>
    </w:p>
    <w:p>
      <w:pPr>
        <w:numPr>
          <w:ilvl w:val="0"/>
          <w:numId w:val="0"/>
        </w:numPr>
        <w:rPr>
          <w:rFonts w:hint="eastAsia"/>
          <w:b w:val="0"/>
          <w:bCs w:val="0"/>
          <w:sz w:val="24"/>
          <w:szCs w:val="24"/>
          <w:lang w:val="en-US" w:eastAsia="zh-CN"/>
        </w:rPr>
      </w:pPr>
      <w:r>
        <w:rPr>
          <w:rFonts w:hint="eastAsia"/>
          <w:b w:val="0"/>
          <w:bCs w:val="0"/>
          <w:sz w:val="24"/>
          <w:szCs w:val="24"/>
          <w:lang w:val="en-US" w:eastAsia="zh-CN"/>
        </w:rPr>
        <w:t>（3）建立协同工作平台，实现多专业数据共享，实现安全质量标准化管理。</w:t>
      </w:r>
    </w:p>
    <w:p>
      <w:pPr>
        <w:numPr>
          <w:ilvl w:val="0"/>
          <w:numId w:val="0"/>
        </w:numPr>
        <w:rPr>
          <w:rFonts w:hint="eastAsia"/>
          <w:b w:val="0"/>
          <w:bCs w:val="0"/>
          <w:sz w:val="24"/>
          <w:szCs w:val="24"/>
          <w:lang w:val="en-US" w:eastAsia="zh-CN"/>
        </w:rPr>
      </w:pPr>
      <w:r>
        <w:rPr>
          <w:rFonts w:hint="eastAsia"/>
          <w:b w:val="0"/>
          <w:bCs w:val="0"/>
          <w:sz w:val="24"/>
          <w:szCs w:val="24"/>
          <w:lang w:val="en-US" w:eastAsia="zh-CN"/>
        </w:rPr>
        <w:t>（4）具备与其他管理系统进行数据集成共享的功能。</w:t>
      </w:r>
    </w:p>
    <w:p>
      <w:pPr>
        <w:numPr>
          <w:ilvl w:val="0"/>
          <w:numId w:val="0"/>
        </w:numPr>
        <w:rPr>
          <w:rFonts w:hint="eastAsia"/>
          <w:b w:val="0"/>
          <w:bCs w:val="0"/>
          <w:sz w:val="24"/>
          <w:szCs w:val="24"/>
          <w:lang w:val="en-US" w:eastAsia="zh-CN"/>
        </w:rPr>
      </w:pPr>
      <w:r>
        <w:rPr>
          <w:rFonts w:hint="eastAsia"/>
          <w:b w:val="0"/>
          <w:bCs w:val="0"/>
          <w:sz w:val="24"/>
          <w:szCs w:val="24"/>
          <w:lang w:val="en-US" w:eastAsia="zh-CN"/>
        </w:rPr>
        <w:t>（5）系统应符合《计算机信息系统安全保护等级划分准则》GB17859 第二级的保护要求。</w:t>
      </w:r>
    </w:p>
    <w:p>
      <w:pPr>
        <w:numPr>
          <w:ilvl w:val="0"/>
          <w:numId w:val="0"/>
        </w:numPr>
        <w:rPr>
          <w:rFonts w:hint="eastAsia"/>
          <w:b/>
          <w:bCs/>
          <w:sz w:val="24"/>
          <w:szCs w:val="24"/>
          <w:lang w:val="en-US" w:eastAsia="zh-CN"/>
        </w:rPr>
      </w:pPr>
      <w:r>
        <w:rPr>
          <w:rFonts w:hint="eastAsia"/>
          <w:b/>
          <w:bCs/>
          <w:sz w:val="24"/>
          <w:szCs w:val="24"/>
          <w:lang w:val="en-US" w:eastAsia="zh-CN"/>
        </w:rPr>
        <w:t>10.6 基于物联网的工程总承包项目物资全过程监管技术指标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建立统一的工程总承包项目物资全过程监管平台，运用大数据分析、工作流和移动应用等技术，实现多项目管理，相关人员可通过手机随时获取信息，同时支持云部署、云存储模式，支持多方协同，业务上下贯通，逻辑上分管理策划层、业务标准化层、数据共享层三层结构。</w:t>
      </w:r>
    </w:p>
    <w:p>
      <w:pPr>
        <w:numPr>
          <w:ilvl w:val="0"/>
          <w:numId w:val="0"/>
        </w:numPr>
        <w:rPr>
          <w:rFonts w:hint="eastAsia"/>
          <w:b w:val="0"/>
          <w:bCs w:val="0"/>
          <w:sz w:val="24"/>
          <w:szCs w:val="24"/>
          <w:lang w:val="en-US" w:eastAsia="zh-CN"/>
        </w:rPr>
      </w:pPr>
      <w:r>
        <w:rPr>
          <w:rFonts w:hint="eastAsia"/>
          <w:b w:val="0"/>
          <w:bCs w:val="0"/>
          <w:sz w:val="24"/>
          <w:szCs w:val="24"/>
          <w:lang w:val="en-US" w:eastAsia="zh-CN"/>
        </w:rPr>
        <w:t>（2）采用定制移动终端，实现远距离（&gt;5m）条码扫描，监听手持设备扫描数据，通过 https</w:t>
      </w:r>
    </w:p>
    <w:p>
      <w:pPr>
        <w:numPr>
          <w:ilvl w:val="0"/>
          <w:numId w:val="0"/>
        </w:numPr>
        <w:rPr>
          <w:rFonts w:hint="eastAsia"/>
          <w:b w:val="0"/>
          <w:bCs w:val="0"/>
          <w:sz w:val="24"/>
          <w:szCs w:val="24"/>
          <w:lang w:val="en-US" w:eastAsia="zh-CN"/>
        </w:rPr>
      </w:pPr>
      <w:r>
        <w:rPr>
          <w:rFonts w:hint="eastAsia"/>
          <w:b w:val="0"/>
          <w:bCs w:val="0"/>
          <w:sz w:val="24"/>
          <w:szCs w:val="24"/>
          <w:lang w:val="en-US" w:eastAsia="zh-CN"/>
        </w:rPr>
        <w:t>安全协议，使终端数据快速、直接、安全送达服务器，实现货物远距离快速清点和物流状态实时更新。</w:t>
      </w:r>
    </w:p>
    <w:p>
      <w:pPr>
        <w:numPr>
          <w:ilvl w:val="0"/>
          <w:numId w:val="0"/>
        </w:numPr>
        <w:rPr>
          <w:rFonts w:hint="eastAsia"/>
          <w:b w:val="0"/>
          <w:bCs w:val="0"/>
          <w:sz w:val="24"/>
          <w:szCs w:val="24"/>
          <w:lang w:val="en-US" w:eastAsia="zh-CN"/>
        </w:rPr>
      </w:pPr>
      <w:r>
        <w:rPr>
          <w:rFonts w:hint="eastAsia"/>
          <w:b w:val="0"/>
          <w:bCs w:val="0"/>
          <w:sz w:val="24"/>
          <w:szCs w:val="24"/>
          <w:lang w:val="en-US" w:eastAsia="zh-CN"/>
        </w:rPr>
        <w:t>（3）以条形码作为唯一身份编码形式，并将打印的条码贴至箱件，扫码时，系统自动进行校验，实现各运输环节箱件内物资的快速核对。</w:t>
      </w:r>
    </w:p>
    <w:p>
      <w:pPr>
        <w:numPr>
          <w:ilvl w:val="0"/>
          <w:numId w:val="0"/>
        </w:numPr>
        <w:rPr>
          <w:rFonts w:hint="eastAsia"/>
          <w:b w:val="0"/>
          <w:bCs w:val="0"/>
          <w:sz w:val="24"/>
          <w:szCs w:val="24"/>
          <w:lang w:val="en-US" w:eastAsia="zh-CN"/>
        </w:rPr>
      </w:pPr>
      <w:r>
        <w:rPr>
          <w:rFonts w:hint="eastAsia"/>
          <w:b w:val="0"/>
          <w:bCs w:val="0"/>
          <w:sz w:val="24"/>
          <w:szCs w:val="24"/>
          <w:lang w:val="en-US" w:eastAsia="zh-CN"/>
        </w:rPr>
        <w:t>（4）通过卫星定位技术和物联网条码技术，实现箱件位置的快速定位和箱件内物资的快速查找。</w:t>
      </w:r>
    </w:p>
    <w:p>
      <w:pPr>
        <w:numPr>
          <w:ilvl w:val="0"/>
          <w:numId w:val="0"/>
        </w:numPr>
        <w:rPr>
          <w:rFonts w:hint="eastAsia"/>
          <w:b w:val="0"/>
          <w:bCs w:val="0"/>
          <w:sz w:val="24"/>
          <w:szCs w:val="24"/>
          <w:lang w:val="en-US" w:eastAsia="zh-CN"/>
        </w:rPr>
      </w:pPr>
      <w:r>
        <w:rPr>
          <w:rFonts w:hint="eastAsia"/>
          <w:b w:val="0"/>
          <w:bCs w:val="0"/>
          <w:sz w:val="24"/>
          <w:szCs w:val="24"/>
          <w:lang w:val="en-US" w:eastAsia="zh-CN"/>
        </w:rPr>
        <w:t>（5）将规划好的推送逻辑、时机、目标置入系统，实时监听物联网数据获取状态并进行对比147分析，满足触发条件，自动通过待办任务、邮件、微信、短信等形式推送给相关方，进行预警提醒，对未确认的提醒，可设定重复发送周期。</w:t>
      </w:r>
    </w:p>
    <w:p>
      <w:pPr>
        <w:numPr>
          <w:ilvl w:val="0"/>
          <w:numId w:val="0"/>
        </w:numPr>
        <w:rPr>
          <w:rFonts w:hint="eastAsia"/>
          <w:b w:val="0"/>
          <w:bCs w:val="0"/>
          <w:sz w:val="24"/>
          <w:szCs w:val="24"/>
          <w:lang w:val="en-US" w:eastAsia="zh-CN"/>
        </w:rPr>
      </w:pPr>
      <w:r>
        <w:rPr>
          <w:rFonts w:hint="eastAsia"/>
          <w:b w:val="0"/>
          <w:bCs w:val="0"/>
          <w:sz w:val="24"/>
          <w:szCs w:val="24"/>
          <w:lang w:val="en-US" w:eastAsia="zh-CN"/>
        </w:rPr>
        <w:t>（6）支持离线应用，可采用离线工具实现数据采集。在联网环境下，自动同步到服务器或者通过邮件发送给相关方进行导入。</w:t>
      </w:r>
    </w:p>
    <w:p>
      <w:pPr>
        <w:numPr>
          <w:ilvl w:val="0"/>
          <w:numId w:val="0"/>
        </w:numPr>
        <w:rPr>
          <w:rFonts w:hint="eastAsia"/>
          <w:b w:val="0"/>
          <w:bCs w:val="0"/>
          <w:sz w:val="24"/>
          <w:szCs w:val="24"/>
          <w:lang w:val="en-US" w:eastAsia="zh-CN"/>
        </w:rPr>
      </w:pPr>
      <w:r>
        <w:rPr>
          <w:rFonts w:hint="eastAsia"/>
          <w:b w:val="0"/>
          <w:bCs w:val="0"/>
          <w:sz w:val="24"/>
          <w:szCs w:val="24"/>
          <w:lang w:val="en-US" w:eastAsia="zh-CN"/>
        </w:rPr>
        <w:t>（7）具备与其他管理系统进行数据集成共享的功能。</w:t>
      </w:r>
    </w:p>
    <w:p>
      <w:pPr>
        <w:numPr>
          <w:ilvl w:val="0"/>
          <w:numId w:val="0"/>
        </w:numPr>
        <w:rPr>
          <w:rFonts w:hint="eastAsia"/>
          <w:b/>
          <w:bCs/>
          <w:sz w:val="24"/>
          <w:szCs w:val="24"/>
          <w:lang w:val="en-US" w:eastAsia="zh-CN"/>
        </w:rPr>
      </w:pPr>
      <w:r>
        <w:rPr>
          <w:rFonts w:hint="eastAsia"/>
          <w:b/>
          <w:bCs/>
          <w:sz w:val="24"/>
          <w:szCs w:val="24"/>
          <w:lang w:val="en-US" w:eastAsia="zh-CN"/>
        </w:rPr>
        <w:t>10.7 基于物联网的劳务管理信息技术指标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（1）应将劳务实名制信息化管理的各类物联网设备进行现场组网运行，并与互联网相连。</w:t>
      </w:r>
    </w:p>
    <w:p>
      <w:pPr>
        <w:numPr>
          <w:ilvl w:val="0"/>
          <w:numId w:val="0"/>
        </w:numPr>
        <w:rPr>
          <w:rFonts w:hint="eastAsia"/>
          <w:b w:val="0"/>
          <w:bCs w:val="0"/>
          <w:sz w:val="24"/>
          <w:szCs w:val="24"/>
          <w:lang w:val="en-US" w:eastAsia="zh-CN"/>
        </w:rPr>
      </w:pPr>
      <w:r>
        <w:rPr>
          <w:rFonts w:hint="eastAsia"/>
          <w:b w:val="0"/>
          <w:bCs w:val="0"/>
          <w:sz w:val="24"/>
          <w:szCs w:val="24"/>
          <w:lang w:val="en-US" w:eastAsia="zh-CN"/>
        </w:rPr>
        <w:t>（2）基于物联网的劳务管理系统，应具备符合要求的安全认证、权限管理、表单定制等功能。</w:t>
      </w:r>
    </w:p>
    <w:p>
      <w:pPr>
        <w:numPr>
          <w:ilvl w:val="0"/>
          <w:numId w:val="0"/>
        </w:numPr>
        <w:rPr>
          <w:rFonts w:hint="eastAsia"/>
          <w:b w:val="0"/>
          <w:bCs w:val="0"/>
          <w:sz w:val="24"/>
          <w:szCs w:val="24"/>
          <w:lang w:val="en-US" w:eastAsia="zh-CN"/>
        </w:rPr>
      </w:pPr>
      <w:r>
        <w:rPr>
          <w:rFonts w:hint="eastAsia"/>
          <w:b w:val="0"/>
          <w:bCs w:val="0"/>
          <w:sz w:val="24"/>
          <w:szCs w:val="24"/>
          <w:lang w:val="en-US" w:eastAsia="zh-CN"/>
        </w:rPr>
        <w:t>（3）系统应提供与物联网终端设备的数据接口，实现对身份证阅读器、视频监控设备、门禁设备、通行授权设备、工控机等设备的数据采集与控制。</w:t>
      </w:r>
    </w:p>
    <w:p>
      <w:pPr>
        <w:numPr>
          <w:ilvl w:val="0"/>
          <w:numId w:val="0"/>
        </w:numPr>
        <w:rPr>
          <w:rFonts w:hint="eastAsia"/>
          <w:b w:val="0"/>
          <w:bCs w:val="0"/>
          <w:sz w:val="24"/>
          <w:szCs w:val="24"/>
          <w:lang w:val="en-US" w:eastAsia="zh-CN"/>
        </w:rPr>
      </w:pPr>
      <w:r>
        <w:rPr>
          <w:rFonts w:hint="eastAsia"/>
          <w:b w:val="0"/>
          <w:bCs w:val="0"/>
          <w:sz w:val="24"/>
          <w:szCs w:val="24"/>
          <w:lang w:val="en-US" w:eastAsia="zh-CN"/>
        </w:rPr>
        <w:t>（4）门禁方式可采用 IC 卡闸机门禁、人脸或虹膜识别闸机门禁、二维码闸机门禁、RFID 无</w:t>
      </w:r>
    </w:p>
    <w:p>
      <w:pPr>
        <w:numPr>
          <w:ilvl w:val="0"/>
          <w:numId w:val="0"/>
        </w:numPr>
        <w:rPr>
          <w:rFonts w:hint="eastAsia"/>
          <w:b w:val="0"/>
          <w:bCs w:val="0"/>
          <w:sz w:val="24"/>
          <w:szCs w:val="24"/>
          <w:lang w:val="en-US" w:eastAsia="zh-CN"/>
        </w:rPr>
      </w:pPr>
      <w:r>
        <w:rPr>
          <w:rFonts w:hint="eastAsia"/>
          <w:b w:val="0"/>
          <w:bCs w:val="0"/>
          <w:sz w:val="24"/>
          <w:szCs w:val="24"/>
          <w:lang w:val="en-US" w:eastAsia="zh-CN"/>
        </w:rPr>
        <w:t>障碍通行等。IC 卡及读写设备要符合 ISO/IEC14443 协议相关要求、RFID 卡及读写设备应符合IOS15693 协议相关要求。单台人脸或虹膜识别设备最少支持存储 1000 张人脸或虹膜信息；闸机通行不低于 30 人/min（采用人脸或虹膜生物识别通行不低于 10 人／min）；如采用半高转闸和全高转闸，应设立安全疏散通道。</w:t>
      </w:r>
    </w:p>
    <w:p>
      <w:pPr>
        <w:numPr>
          <w:ilvl w:val="0"/>
          <w:numId w:val="0"/>
        </w:numPr>
        <w:rPr>
          <w:rFonts w:hint="eastAsia"/>
          <w:b w:val="0"/>
          <w:bCs w:val="0"/>
          <w:sz w:val="24"/>
          <w:szCs w:val="24"/>
          <w:lang w:val="en-US" w:eastAsia="zh-CN"/>
        </w:rPr>
      </w:pPr>
      <w:r>
        <w:rPr>
          <w:rFonts w:hint="eastAsia"/>
          <w:b w:val="0"/>
          <w:bCs w:val="0"/>
          <w:sz w:val="24"/>
          <w:szCs w:val="24"/>
          <w:lang w:val="en-US" w:eastAsia="zh-CN"/>
        </w:rPr>
        <w:t>（5）可对现场人员进出的项目划设区域进行授权管理，不同授权人员只能通行对应的区域。</w:t>
      </w:r>
    </w:p>
    <w:p>
      <w:pPr>
        <w:numPr>
          <w:ilvl w:val="0"/>
          <w:numId w:val="0"/>
        </w:numPr>
        <w:rPr>
          <w:rFonts w:hint="eastAsia"/>
          <w:b w:val="0"/>
          <w:bCs w:val="0"/>
          <w:sz w:val="24"/>
          <w:szCs w:val="24"/>
          <w:lang w:val="en-US" w:eastAsia="zh-CN"/>
        </w:rPr>
      </w:pPr>
      <w:r>
        <w:rPr>
          <w:rFonts w:hint="eastAsia"/>
          <w:b w:val="0"/>
          <w:bCs w:val="0"/>
          <w:sz w:val="24"/>
          <w:szCs w:val="24"/>
          <w:lang w:val="en-US" w:eastAsia="zh-CN"/>
        </w:rPr>
        <w:t>（6）门禁控制器应能记录进出场人员信息，统计进出场时间，并实时传输到云端服务器；应能支持断网工作，数据可在网络恢复以后及时上传；断电设备无法工作，但已采集记录数据可以保留 30 天。</w:t>
      </w:r>
    </w:p>
    <w:p>
      <w:pPr>
        <w:numPr>
          <w:ilvl w:val="0"/>
          <w:numId w:val="0"/>
        </w:numPr>
        <w:rPr>
          <w:rFonts w:hint="eastAsia"/>
          <w:b w:val="0"/>
          <w:bCs w:val="0"/>
          <w:sz w:val="24"/>
          <w:szCs w:val="24"/>
          <w:lang w:val="en-US" w:eastAsia="zh-CN"/>
        </w:rPr>
      </w:pPr>
      <w:r>
        <w:rPr>
          <w:rFonts w:hint="eastAsia"/>
          <w:b w:val="0"/>
          <w:bCs w:val="0"/>
          <w:sz w:val="24"/>
          <w:szCs w:val="24"/>
          <w:lang w:val="en-US" w:eastAsia="zh-CN"/>
        </w:rPr>
        <w:t>（7）能够进行统一的规则设置，可以实现对人员年龄超龄控制、黑名单管控规则、长期未进场人员控制、未接受安全教育人员控制，可以由企业统一设置，也可以由各项目灵活配置。</w:t>
      </w:r>
    </w:p>
    <w:p>
      <w:pPr>
        <w:numPr>
          <w:ilvl w:val="0"/>
          <w:numId w:val="0"/>
        </w:numPr>
        <w:rPr>
          <w:rFonts w:hint="eastAsia"/>
          <w:b w:val="0"/>
          <w:bCs w:val="0"/>
          <w:sz w:val="24"/>
          <w:szCs w:val="24"/>
          <w:lang w:val="en-US" w:eastAsia="zh-CN"/>
        </w:rPr>
      </w:pPr>
      <w:r>
        <w:rPr>
          <w:rFonts w:hint="eastAsia"/>
          <w:b w:val="0"/>
          <w:bCs w:val="0"/>
          <w:sz w:val="24"/>
          <w:szCs w:val="24"/>
          <w:lang w:val="en-US" w:eastAsia="zh-CN"/>
        </w:rPr>
        <w:t>（8）能及时（延时不超过 3min）统计项目劳务用工相关数据，企业可以实现多项目的统计分析。</w:t>
      </w:r>
    </w:p>
    <w:p>
      <w:pPr>
        <w:numPr>
          <w:ilvl w:val="0"/>
          <w:numId w:val="0"/>
        </w:numPr>
        <w:rPr>
          <w:rFonts w:hint="eastAsia"/>
          <w:b w:val="0"/>
          <w:bCs w:val="0"/>
          <w:sz w:val="24"/>
          <w:szCs w:val="24"/>
          <w:lang w:val="en-US" w:eastAsia="zh-CN"/>
        </w:rPr>
      </w:pPr>
      <w:r>
        <w:rPr>
          <w:rFonts w:hint="eastAsia"/>
          <w:b w:val="0"/>
          <w:bCs w:val="0"/>
          <w:sz w:val="24"/>
          <w:szCs w:val="24"/>
          <w:lang w:val="en-US" w:eastAsia="zh-CN"/>
        </w:rPr>
        <w:t>（9）能够通过移动终端设备实现人员信息查询、安全教育登记、查看统计分析数据、远程视频监控等实时应用。</w:t>
      </w:r>
    </w:p>
    <w:p>
      <w:pPr>
        <w:numPr>
          <w:ilvl w:val="0"/>
          <w:numId w:val="0"/>
        </w:numPr>
        <w:rPr>
          <w:rFonts w:hint="eastAsia"/>
          <w:b w:val="0"/>
          <w:bCs w:val="0"/>
          <w:sz w:val="24"/>
          <w:szCs w:val="24"/>
          <w:lang w:val="en-US" w:eastAsia="zh-CN"/>
        </w:rPr>
      </w:pPr>
      <w:r>
        <w:rPr>
          <w:rFonts w:hint="eastAsia"/>
          <w:b w:val="0"/>
          <w:bCs w:val="0"/>
          <w:sz w:val="24"/>
          <w:szCs w:val="24"/>
          <w:lang w:val="en-US" w:eastAsia="zh-CN"/>
        </w:rPr>
        <w:t>（10）具备与其他管理系统进行数据集成共享的功能。</w:t>
      </w:r>
    </w:p>
    <w:p>
      <w:pPr>
        <w:numPr>
          <w:ilvl w:val="0"/>
          <w:numId w:val="0"/>
        </w:numPr>
        <w:rPr>
          <w:rFonts w:hint="eastAsia"/>
          <w:b/>
          <w:bCs/>
          <w:sz w:val="24"/>
          <w:szCs w:val="24"/>
          <w:lang w:val="en-US" w:eastAsia="zh-CN"/>
        </w:rPr>
      </w:pPr>
      <w:r>
        <w:rPr>
          <w:rFonts w:hint="eastAsia"/>
          <w:b/>
          <w:bCs/>
          <w:sz w:val="24"/>
          <w:szCs w:val="24"/>
          <w:lang w:val="en-US" w:eastAsia="zh-CN"/>
        </w:rPr>
        <w:t>10.8 基于 GIS 和物联网的建筑垃圾监管技术指标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（1）车辆识别：利用车牌识别（VLPR）技术自动采集并甄别车辆牌照信息。</w:t>
      </w:r>
    </w:p>
    <w:p>
      <w:pPr>
        <w:numPr>
          <w:ilvl w:val="0"/>
          <w:numId w:val="0"/>
        </w:numPr>
        <w:rPr>
          <w:rFonts w:hint="eastAsia"/>
          <w:b w:val="0"/>
          <w:bCs w:val="0"/>
          <w:sz w:val="24"/>
          <w:szCs w:val="24"/>
          <w:lang w:val="en-US" w:eastAsia="zh-CN"/>
        </w:rPr>
      </w:pPr>
      <w:r>
        <w:rPr>
          <w:rFonts w:hint="eastAsia"/>
          <w:b w:val="0"/>
          <w:bCs w:val="0"/>
          <w:sz w:val="24"/>
          <w:szCs w:val="24"/>
          <w:lang w:val="en-US" w:eastAsia="zh-CN"/>
        </w:rPr>
        <w:t>（2）建筑垃圾分类识别：通过制卡器向射频识别（RFID）有源卡写入相应建筑垃圾类型等信息。利用项目和处理中心的地磅处阅读器自动识别目标对象并获取垃圾类型信息，摄像头抓拍建筑垃圾照片，并将垃圾类型信息和抓怕信息上传至计算机进行分析比对，确定是否放行。</w:t>
      </w:r>
    </w:p>
    <w:p>
      <w:pPr>
        <w:numPr>
          <w:ilvl w:val="0"/>
          <w:numId w:val="0"/>
        </w:numPr>
        <w:rPr>
          <w:rFonts w:hint="eastAsia"/>
          <w:b w:val="0"/>
          <w:bCs w:val="0"/>
          <w:sz w:val="24"/>
          <w:szCs w:val="24"/>
          <w:lang w:val="en-US" w:eastAsia="zh-CN"/>
        </w:rPr>
      </w:pPr>
      <w:r>
        <w:rPr>
          <w:rFonts w:hint="eastAsia"/>
          <w:b w:val="0"/>
          <w:bCs w:val="0"/>
          <w:sz w:val="24"/>
          <w:szCs w:val="24"/>
          <w:lang w:val="en-US" w:eastAsia="zh-CN"/>
        </w:rPr>
        <w:t>（3）监控管理平台：利用 GIS、卫星定位系统和移动应用技术建立运输跟踪监控系统，企业总部或地方政府主管部门可建立远程监控管理平台并与运输监控系统对接，通过对运输路径、车辆定位等信息的动态化、可视化监控，实现对建筑垃圾全过程监管。</w:t>
      </w:r>
    </w:p>
    <w:p>
      <w:pPr>
        <w:numPr>
          <w:ilvl w:val="0"/>
          <w:numId w:val="0"/>
        </w:numPr>
        <w:rPr>
          <w:rFonts w:hint="eastAsia"/>
          <w:b w:val="0"/>
          <w:bCs w:val="0"/>
          <w:sz w:val="24"/>
          <w:szCs w:val="24"/>
          <w:lang w:val="en-US" w:eastAsia="zh-CN"/>
        </w:rPr>
      </w:pPr>
      <w:r>
        <w:rPr>
          <w:rFonts w:hint="eastAsia"/>
          <w:b w:val="0"/>
          <w:bCs w:val="0"/>
          <w:sz w:val="24"/>
          <w:szCs w:val="24"/>
          <w:lang w:val="en-US" w:eastAsia="zh-CN"/>
        </w:rPr>
        <w:t>（4）具备与相关系统集成的能力。</w:t>
      </w:r>
    </w:p>
    <w:p>
      <w:pPr>
        <w:numPr>
          <w:ilvl w:val="0"/>
          <w:numId w:val="0"/>
        </w:numPr>
        <w:rPr>
          <w:rFonts w:hint="eastAsia"/>
          <w:b/>
          <w:bCs/>
          <w:sz w:val="24"/>
          <w:szCs w:val="24"/>
          <w:lang w:val="en-US" w:eastAsia="zh-CN"/>
        </w:rPr>
      </w:pPr>
      <w:r>
        <w:rPr>
          <w:rFonts w:hint="eastAsia"/>
          <w:b/>
          <w:bCs/>
          <w:sz w:val="24"/>
          <w:szCs w:val="24"/>
          <w:lang w:val="en-US" w:eastAsia="zh-CN"/>
        </w:rPr>
        <w:t>10.9 基于智能化的装配式建筑产品生产与施工管理信息技术指标</w:t>
      </w:r>
    </w:p>
    <w:p>
      <w:pPr>
        <w:numPr>
          <w:ilvl w:val="0"/>
          <w:numId w:val="0"/>
        </w:numPr>
        <w:rPr>
          <w:rFonts w:hint="eastAsia"/>
          <w:b w:val="0"/>
          <w:bCs w:val="0"/>
          <w:sz w:val="24"/>
          <w:szCs w:val="24"/>
          <w:lang w:val="en-US" w:eastAsia="zh-CN"/>
        </w:rPr>
      </w:pPr>
      <w:r>
        <w:rPr>
          <w:rFonts w:hint="eastAsia"/>
          <w:b w:val="0"/>
          <w:bCs w:val="0"/>
          <w:sz w:val="24"/>
          <w:szCs w:val="24"/>
          <w:lang w:val="en-US" w:eastAsia="zh-CN"/>
        </w:rPr>
        <w:t>（1）管理信息平台能对深化设计、材料管理、生产工序的情况进行集中管控，能在施工环节中利用生产环节的相关信息对产品生产质量进行监管，并能通过施工预拼装管理提高施工装配效率。</w:t>
      </w:r>
    </w:p>
    <w:p>
      <w:pPr>
        <w:numPr>
          <w:ilvl w:val="0"/>
          <w:numId w:val="0"/>
        </w:numPr>
        <w:rPr>
          <w:rFonts w:hint="eastAsia"/>
          <w:b w:val="0"/>
          <w:bCs w:val="0"/>
          <w:sz w:val="24"/>
          <w:szCs w:val="24"/>
          <w:lang w:val="en-US" w:eastAsia="zh-CN"/>
        </w:rPr>
      </w:pPr>
      <w:r>
        <w:rPr>
          <w:rFonts w:hint="eastAsia"/>
          <w:b w:val="0"/>
          <w:bCs w:val="0"/>
          <w:sz w:val="24"/>
          <w:szCs w:val="24"/>
          <w:lang w:val="en-US" w:eastAsia="zh-CN"/>
        </w:rPr>
        <w:t>（2）在深化设计环节按照各专业（如预制混凝土、钢结构等）深化设计标准（要求）统一产品编码，采用专业深化设计软件开展深化设计工作，达到生产要求的设计深度，并向下游交付。</w:t>
      </w:r>
    </w:p>
    <w:p>
      <w:pPr>
        <w:numPr>
          <w:ilvl w:val="0"/>
          <w:numId w:val="0"/>
        </w:numPr>
        <w:rPr>
          <w:rFonts w:hint="eastAsia"/>
          <w:b w:val="0"/>
          <w:bCs w:val="0"/>
          <w:sz w:val="24"/>
          <w:szCs w:val="24"/>
          <w:lang w:val="en-US" w:eastAsia="zh-CN"/>
        </w:rPr>
      </w:pPr>
      <w:r>
        <w:rPr>
          <w:rFonts w:hint="eastAsia"/>
          <w:b w:val="0"/>
          <w:bCs w:val="0"/>
          <w:sz w:val="24"/>
          <w:szCs w:val="24"/>
          <w:lang w:val="en-US" w:eastAsia="zh-CN"/>
        </w:rPr>
        <w:t>（3）在材料管理环节按照各专业（如预制混凝土、钢结构等）物料分类标准（要求）统一物料编码。进行材料“收、发、存、领、用、退”全过程信息化管理，应用物联网条码、RFID 条码等技术绑定材料和仓库库位，采用扫描枪、手机等移动设备实现现场条码信息的采集，依据材料仓库仿真地图实现材料堆垛可视化管理，通过对材料的生产厂家、尺寸外观、规格型号等多维度信息的管理，实现质量控制的可追溯。</w:t>
      </w:r>
    </w:p>
    <w:p>
      <w:pPr>
        <w:numPr>
          <w:ilvl w:val="0"/>
          <w:numId w:val="0"/>
        </w:numPr>
        <w:rPr>
          <w:rFonts w:hint="eastAsia"/>
          <w:b w:val="0"/>
          <w:bCs w:val="0"/>
          <w:sz w:val="24"/>
          <w:szCs w:val="24"/>
          <w:lang w:val="en-US" w:eastAsia="zh-CN"/>
        </w:rPr>
      </w:pPr>
      <w:r>
        <w:rPr>
          <w:rFonts w:hint="eastAsia"/>
          <w:b w:val="0"/>
          <w:bCs w:val="0"/>
          <w:sz w:val="24"/>
          <w:szCs w:val="24"/>
          <w:lang w:val="en-US" w:eastAsia="zh-CN"/>
        </w:rPr>
        <w:t>（4）在产品制造环节按照各专业（如预制混凝土、钢结构等）生产标准（要求）统一人员、</w:t>
      </w:r>
    </w:p>
    <w:p>
      <w:pPr>
        <w:numPr>
          <w:ilvl w:val="0"/>
          <w:numId w:val="0"/>
        </w:numPr>
        <w:rPr>
          <w:rFonts w:hint="eastAsia"/>
          <w:b w:val="0"/>
          <w:bCs w:val="0"/>
          <w:sz w:val="24"/>
          <w:szCs w:val="24"/>
          <w:lang w:val="en-US" w:eastAsia="zh-CN"/>
        </w:rPr>
      </w:pPr>
      <w:r>
        <w:rPr>
          <w:rFonts w:hint="eastAsia"/>
          <w:b w:val="0"/>
          <w:bCs w:val="0"/>
          <w:sz w:val="24"/>
          <w:szCs w:val="24"/>
          <w:lang w:val="en-US" w:eastAsia="zh-CN"/>
        </w:rPr>
        <w:t>工序、设备等编码。制造厂应用工业互联网建立网络传输体系，能支持到工序层级的设备层面，实现自动化的生产制造。</w:t>
      </w:r>
    </w:p>
    <w:p>
      <w:pPr>
        <w:numPr>
          <w:ilvl w:val="0"/>
          <w:numId w:val="0"/>
        </w:numPr>
        <w:rPr>
          <w:rFonts w:hint="eastAsia"/>
          <w:b w:val="0"/>
          <w:bCs w:val="0"/>
          <w:sz w:val="24"/>
          <w:szCs w:val="24"/>
          <w:lang w:val="en-US" w:eastAsia="zh-CN"/>
        </w:rPr>
      </w:pPr>
      <w:r>
        <w:rPr>
          <w:rFonts w:hint="eastAsia"/>
          <w:b w:val="0"/>
          <w:bCs w:val="0"/>
          <w:sz w:val="24"/>
          <w:szCs w:val="24"/>
          <w:lang w:val="en-US" w:eastAsia="zh-CN"/>
        </w:rPr>
        <w:t>（5）采用 BIM 技术、计算机辅助工艺规划（CAPP）、工艺路线仿真等工具制作工艺文件，</w:t>
      </w:r>
    </w:p>
    <w:p>
      <w:pPr>
        <w:numPr>
          <w:ilvl w:val="0"/>
          <w:numId w:val="0"/>
        </w:numPr>
        <w:rPr>
          <w:rFonts w:hint="eastAsia"/>
          <w:b w:val="0"/>
          <w:bCs w:val="0"/>
          <w:sz w:val="24"/>
          <w:szCs w:val="24"/>
          <w:lang w:val="en-US" w:eastAsia="zh-CN"/>
        </w:rPr>
      </w:pPr>
      <w:r>
        <w:rPr>
          <w:rFonts w:hint="eastAsia"/>
          <w:b w:val="0"/>
          <w:bCs w:val="0"/>
          <w:sz w:val="24"/>
          <w:szCs w:val="24"/>
          <w:lang w:val="en-US" w:eastAsia="zh-CN"/>
        </w:rPr>
        <w:t>并能将工艺参数通过制造厂工业物联网体系传输给对应设备（如将切割程序传输给切割设备），各工序的生产状态可通过人员报工、条码扫描或设备自动采集等手段进行采集上传。</w:t>
      </w:r>
    </w:p>
    <w:p>
      <w:pPr>
        <w:numPr>
          <w:ilvl w:val="0"/>
          <w:numId w:val="0"/>
        </w:numPr>
        <w:rPr>
          <w:rFonts w:hint="eastAsia"/>
          <w:b w:val="0"/>
          <w:bCs w:val="0"/>
          <w:sz w:val="24"/>
          <w:szCs w:val="24"/>
          <w:lang w:val="en-US" w:eastAsia="zh-CN"/>
        </w:rPr>
      </w:pPr>
      <w:r>
        <w:rPr>
          <w:rFonts w:hint="eastAsia"/>
          <w:b w:val="0"/>
          <w:bCs w:val="0"/>
          <w:sz w:val="24"/>
          <w:szCs w:val="24"/>
          <w:lang w:val="en-US" w:eastAsia="zh-CN"/>
        </w:rPr>
        <w:t>（6）在产品进场管理环节应用物联网技术，采用扫描枪、手机等移动设备扫描产品条码、RFID条码，将产品信息自动传输到管理信息平台，进行产品质量的可追溯管理。并可按照施工安装计151划在 BIM 模型中直观查看各批次产品的进场状态，对项目进度进行管控。</w:t>
      </w:r>
    </w:p>
    <w:p>
      <w:pPr>
        <w:numPr>
          <w:ilvl w:val="0"/>
          <w:numId w:val="0"/>
        </w:numPr>
        <w:rPr>
          <w:rFonts w:hint="eastAsia"/>
          <w:b w:val="0"/>
          <w:bCs w:val="0"/>
          <w:sz w:val="24"/>
          <w:szCs w:val="24"/>
          <w:lang w:val="en-US" w:eastAsia="zh-CN"/>
        </w:rPr>
      </w:pPr>
      <w:r>
        <w:rPr>
          <w:rFonts w:hint="eastAsia"/>
          <w:b w:val="0"/>
          <w:bCs w:val="0"/>
          <w:sz w:val="24"/>
          <w:szCs w:val="24"/>
          <w:lang w:val="en-US" w:eastAsia="zh-CN"/>
        </w:rPr>
        <w:t>（7）在现场堆场管理环节应用物联网条码、RFID 条码等技术绑定产品信息和产品库位信息，</w:t>
      </w:r>
    </w:p>
    <w:p>
      <w:pPr>
        <w:numPr>
          <w:ilvl w:val="0"/>
          <w:numId w:val="0"/>
        </w:numPr>
        <w:rPr>
          <w:rFonts w:hint="eastAsia"/>
          <w:b w:val="0"/>
          <w:bCs w:val="0"/>
          <w:sz w:val="24"/>
          <w:szCs w:val="24"/>
          <w:lang w:val="en-US" w:eastAsia="zh-CN"/>
        </w:rPr>
      </w:pPr>
      <w:r>
        <w:rPr>
          <w:rFonts w:hint="eastAsia"/>
          <w:b w:val="0"/>
          <w:bCs w:val="0"/>
          <w:sz w:val="24"/>
          <w:szCs w:val="24"/>
          <w:lang w:val="en-US" w:eastAsia="zh-CN"/>
        </w:rPr>
        <w:t>采用扫描枪、手机等移动设备实现现场条码信息的采集，依据产品仓库仿真地图实现产品堆垛可视化管理，合理组织利用现场堆场空间。</w:t>
      </w:r>
    </w:p>
    <w:p>
      <w:pPr>
        <w:numPr>
          <w:ilvl w:val="0"/>
          <w:numId w:val="0"/>
        </w:numPr>
        <w:rPr>
          <w:rFonts w:hint="eastAsia"/>
          <w:b w:val="0"/>
          <w:bCs w:val="0"/>
          <w:sz w:val="24"/>
          <w:szCs w:val="24"/>
          <w:lang w:val="en-US" w:eastAsia="zh-CN"/>
        </w:rPr>
      </w:pPr>
      <w:r>
        <w:rPr>
          <w:rFonts w:hint="eastAsia"/>
          <w:b w:val="0"/>
          <w:bCs w:val="0"/>
          <w:sz w:val="24"/>
          <w:szCs w:val="24"/>
          <w:lang w:val="en-US" w:eastAsia="zh-CN"/>
        </w:rPr>
        <w:t>（8）在施工预拼装管理环节采用 BIM 技术对需要预拼装的产品进行虚拟预拼装分析，通过</w:t>
      </w:r>
    </w:p>
    <w:p>
      <w:pPr>
        <w:numPr>
          <w:ilvl w:val="0"/>
          <w:numId w:val="0"/>
        </w:numPr>
        <w:rPr>
          <w:rFonts w:hint="eastAsia"/>
          <w:b w:val="0"/>
          <w:bCs w:val="0"/>
          <w:sz w:val="24"/>
          <w:szCs w:val="24"/>
          <w:lang w:val="en-US" w:eastAsia="zh-CN"/>
        </w:rPr>
      </w:pPr>
      <w:r>
        <w:rPr>
          <w:rFonts w:hint="eastAsia"/>
          <w:b w:val="0"/>
          <w:bCs w:val="0"/>
          <w:sz w:val="24"/>
          <w:szCs w:val="24"/>
          <w:lang w:val="en-US" w:eastAsia="zh-CN"/>
        </w:rPr>
        <w:t>模型或者输出报表等方式查看拼装误差，在地面完成偏差调整，降低预拼装成本，提高装配效率。</w:t>
      </w:r>
    </w:p>
    <w:p>
      <w:pPr>
        <w:numPr>
          <w:ilvl w:val="0"/>
          <w:numId w:val="0"/>
        </w:numPr>
        <w:rPr>
          <w:rFonts w:hint="eastAsia"/>
          <w:b w:val="0"/>
          <w:bCs w:val="0"/>
          <w:sz w:val="24"/>
          <w:szCs w:val="24"/>
          <w:lang w:val="en-US" w:eastAsia="zh-CN"/>
        </w:rPr>
      </w:pPr>
      <w:r>
        <w:rPr>
          <w:rFonts w:hint="eastAsia"/>
          <w:b w:val="0"/>
          <w:bCs w:val="0"/>
          <w:sz w:val="24"/>
          <w:szCs w:val="24"/>
          <w:lang w:val="en-US" w:eastAsia="zh-CN"/>
        </w:rPr>
        <w:t>（9） 可采取云部署的方式，提高信息资源的利用率，降低信息资源的使用成本。</w:t>
      </w:r>
    </w:p>
    <w:p>
      <w:pPr>
        <w:numPr>
          <w:ilvl w:val="0"/>
          <w:numId w:val="0"/>
        </w:numPr>
        <w:rPr>
          <w:rFonts w:hint="eastAsia"/>
          <w:b w:val="0"/>
          <w:bCs w:val="0"/>
          <w:sz w:val="24"/>
          <w:szCs w:val="24"/>
          <w:lang w:val="en-US" w:eastAsia="zh-CN"/>
        </w:rPr>
      </w:pPr>
      <w:r>
        <w:rPr>
          <w:rFonts w:hint="eastAsia"/>
          <w:b w:val="0"/>
          <w:bCs w:val="0"/>
          <w:sz w:val="24"/>
          <w:szCs w:val="24"/>
          <w:lang w:val="en-US" w:eastAsia="zh-CN"/>
        </w:rPr>
        <w:t>（10） 应具备与相关信息系统集成的能力。</w:t>
      </w:r>
    </w:p>
    <w:p>
      <w:pPr>
        <w:numPr>
          <w:ilvl w:val="0"/>
          <w:numId w:val="0"/>
        </w:numPr>
        <w:rPr>
          <w:rFonts w:hint="eastAsia"/>
          <w:b/>
          <w:bCs/>
          <w:sz w:val="24"/>
          <w:szCs w:val="24"/>
          <w:lang w:val="en-US" w:eastAsia="zh-CN"/>
        </w:rPr>
      </w:pPr>
    </w:p>
    <w:sectPr>
      <w:headerReference r:id="rId3" w:type="default"/>
      <w:footerReference r:id="rId4" w:type="default"/>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B9010E"/>
    <w:multiLevelType w:val="singleLevel"/>
    <w:tmpl w:val="DEB9010E"/>
    <w:lvl w:ilvl="0" w:tentative="0">
      <w:start w:val="8"/>
      <w:numFmt w:val="chineseCounting"/>
      <w:suff w:val="nothing"/>
      <w:lvlText w:val="%1．"/>
      <w:lvlJc w:val="left"/>
      <w:rPr>
        <w:rFonts w:hint="eastAsia"/>
      </w:rPr>
    </w:lvl>
  </w:abstractNum>
  <w:abstractNum w:abstractNumId="1">
    <w:nsid w:val="E26D74E5"/>
    <w:multiLevelType w:val="singleLevel"/>
    <w:tmpl w:val="E26D74E5"/>
    <w:lvl w:ilvl="0" w:tentative="0">
      <w:start w:val="7"/>
      <w:numFmt w:val="decimal"/>
      <w:suff w:val="nothing"/>
      <w:lvlText w:val="（%1）"/>
      <w:lvlJc w:val="left"/>
    </w:lvl>
  </w:abstractNum>
  <w:abstractNum w:abstractNumId="2">
    <w:nsid w:val="4EC1F98E"/>
    <w:multiLevelType w:val="singleLevel"/>
    <w:tmpl w:val="4EC1F98E"/>
    <w:lvl w:ilvl="0" w:tentative="0">
      <w:start w:val="2"/>
      <w:numFmt w:val="decimal"/>
      <w:suff w:val="nothing"/>
      <w:lvlText w:val="（%1）"/>
      <w:lvlJc w:val="left"/>
    </w:lvl>
  </w:abstractNum>
  <w:abstractNum w:abstractNumId="3">
    <w:nsid w:val="505A5E3E"/>
    <w:multiLevelType w:val="singleLevel"/>
    <w:tmpl w:val="505A5E3E"/>
    <w:lvl w:ilvl="0" w:tentative="0">
      <w:start w:val="2"/>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D250B"/>
    <w:rsid w:val="045657CE"/>
    <w:rsid w:val="09A52238"/>
    <w:rsid w:val="0B5367E5"/>
    <w:rsid w:val="0DAB3EBB"/>
    <w:rsid w:val="0DBB1916"/>
    <w:rsid w:val="0DC549F5"/>
    <w:rsid w:val="10702C0B"/>
    <w:rsid w:val="14826137"/>
    <w:rsid w:val="190F5B3B"/>
    <w:rsid w:val="1F3D7CCA"/>
    <w:rsid w:val="25BD3052"/>
    <w:rsid w:val="28A21720"/>
    <w:rsid w:val="2F455943"/>
    <w:rsid w:val="36B90817"/>
    <w:rsid w:val="3B6661BD"/>
    <w:rsid w:val="3C103810"/>
    <w:rsid w:val="3D906CC6"/>
    <w:rsid w:val="3ECB6D04"/>
    <w:rsid w:val="40774D6E"/>
    <w:rsid w:val="444E6E6B"/>
    <w:rsid w:val="447D680C"/>
    <w:rsid w:val="4492452F"/>
    <w:rsid w:val="462C7C37"/>
    <w:rsid w:val="46727E5F"/>
    <w:rsid w:val="49BB019F"/>
    <w:rsid w:val="4BAC5BC8"/>
    <w:rsid w:val="4CD07F01"/>
    <w:rsid w:val="4EF909A6"/>
    <w:rsid w:val="4F2F4165"/>
    <w:rsid w:val="524D6843"/>
    <w:rsid w:val="54141D82"/>
    <w:rsid w:val="59AD4B11"/>
    <w:rsid w:val="5E417130"/>
    <w:rsid w:val="66D7042F"/>
    <w:rsid w:val="67216796"/>
    <w:rsid w:val="68BA2B45"/>
    <w:rsid w:val="699501B1"/>
    <w:rsid w:val="69C61642"/>
    <w:rsid w:val="6D2B462A"/>
    <w:rsid w:val="71157F3B"/>
    <w:rsid w:val="73764012"/>
    <w:rsid w:val="743F6ABA"/>
    <w:rsid w:val="75B203DE"/>
    <w:rsid w:val="79676D65"/>
    <w:rsid w:val="7CB9686C"/>
    <w:rsid w:val="7CE8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田永茂</cp:lastModifiedBy>
  <dcterms:modified xsi:type="dcterms:W3CDTF">2018-10-31T02:07:15Z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